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2BEE79" w14:textId="5CDFD4C1" w:rsidR="00E547A3" w:rsidRDefault="00F80BA8" w:rsidP="00B61716">
      <w:pPr>
        <w:pStyle w:val="Title"/>
      </w:pPr>
      <w:r>
        <w:t>Draft p</w:t>
      </w:r>
      <w:r w:rsidR="00B61716" w:rsidRPr="00B61716">
        <w:t xml:space="preserve">rotocol for a systematic </w:t>
      </w:r>
      <w:r w:rsidR="0058212C">
        <w:t xml:space="preserve">evidence </w:t>
      </w:r>
      <w:proofErr w:type="gramStart"/>
      <w:r w:rsidR="0058212C">
        <w:t>map</w:t>
      </w:r>
      <w:proofErr w:type="gramEnd"/>
      <w:r w:rsidR="00B61716" w:rsidRPr="00B61716">
        <w:t xml:space="preserve"> of </w:t>
      </w:r>
      <w:r w:rsidR="00C67BD1">
        <w:t xml:space="preserve">methods to measure </w:t>
      </w:r>
      <w:r w:rsidR="0058212C" w:rsidRPr="00C65A19">
        <w:t>hormon</w:t>
      </w:r>
      <w:r w:rsidR="00C67BD1">
        <w:t>es</w:t>
      </w:r>
      <w:r w:rsidR="0058212C" w:rsidRPr="00C65A19">
        <w:t xml:space="preserve"> </w:t>
      </w:r>
      <w:r w:rsidR="00C67BD1">
        <w:t xml:space="preserve">related to estrogen, androgen and thyroid pathways </w:t>
      </w:r>
      <w:r w:rsidR="0058212C" w:rsidRPr="00C65A19">
        <w:t>in fish, birds and amphibians</w:t>
      </w:r>
    </w:p>
    <w:p w14:paraId="062DDC12" w14:textId="77777777" w:rsidR="00D64011" w:rsidRDefault="00D14AFE" w:rsidP="00D14AFE">
      <w:pPr>
        <w:pStyle w:val="Heading2"/>
      </w:pPr>
      <w:r>
        <w:t xml:space="preserve">Registration: </w:t>
      </w:r>
    </w:p>
    <w:p w14:paraId="4C687458" w14:textId="03BE11FC" w:rsidR="00B61716" w:rsidRPr="00D64011" w:rsidRDefault="00D64011" w:rsidP="0058212C">
      <w:r w:rsidRPr="00D64011">
        <w:t xml:space="preserve">Final protocol </w:t>
      </w:r>
      <w:r w:rsidR="0058212C">
        <w:t xml:space="preserve">to be </w:t>
      </w:r>
      <w:r w:rsidRPr="00D64011">
        <w:t>uploaded to Zenodo</w:t>
      </w:r>
    </w:p>
    <w:p w14:paraId="5E442C62" w14:textId="77777777" w:rsidR="00D14AFE" w:rsidRPr="00D14AFE" w:rsidRDefault="00D14AFE" w:rsidP="00D14AFE">
      <w:pPr>
        <w:pStyle w:val="Heading2"/>
      </w:pPr>
      <w:r>
        <w:t>Authors:</w:t>
      </w:r>
    </w:p>
    <w:p w14:paraId="78679253" w14:textId="78B4CC6D" w:rsidR="00B61716" w:rsidRDefault="00B61716" w:rsidP="00B61716">
      <w:pPr>
        <w:rPr>
          <w:rStyle w:val="Hyperlink"/>
        </w:rPr>
      </w:pPr>
      <w:r>
        <w:t xml:space="preserve">Dr Olwenn V Martin*, </w:t>
      </w:r>
      <w:r w:rsidR="0058212C">
        <w:t>Department of Life Sciences</w:t>
      </w:r>
      <w:r>
        <w:t xml:space="preserve">, Brunel University London, </w:t>
      </w:r>
      <w:hyperlink r:id="rId8" w:history="1">
        <w:r w:rsidRPr="00A25FAB">
          <w:rPr>
            <w:rStyle w:val="Hyperlink"/>
          </w:rPr>
          <w:t>olwenn.martin@brunel.ac.uk</w:t>
        </w:r>
      </w:hyperlink>
    </w:p>
    <w:p w14:paraId="42160D42" w14:textId="3ED88AB7" w:rsidR="0058212C" w:rsidRDefault="0058212C" w:rsidP="0058212C">
      <w:r>
        <w:t xml:space="preserve">Dr Alice Baynes, Institute for the Environment, Health and Societies, Brunel University London, </w:t>
      </w:r>
      <w:hyperlink r:id="rId9" w:history="1">
        <w:r w:rsidRPr="009A4D2F">
          <w:rPr>
            <w:rStyle w:val="Hyperlink"/>
          </w:rPr>
          <w:t>Alice.baynes@brunel.ac.uk</w:t>
        </w:r>
      </w:hyperlink>
    </w:p>
    <w:p w14:paraId="283EE4F1" w14:textId="77777777" w:rsidR="00B61716" w:rsidRDefault="00B61716" w:rsidP="00B61716">
      <w:r>
        <w:t xml:space="preserve">Dr Sibylle Ermler, Institute for the Environment, Health and Societies, Brunel University London, </w:t>
      </w:r>
      <w:hyperlink r:id="rId10" w:history="1">
        <w:r w:rsidRPr="00A25FAB">
          <w:rPr>
            <w:rStyle w:val="Hyperlink"/>
          </w:rPr>
          <w:t>Sibylle.ermler@brunel.ac.uk</w:t>
        </w:r>
      </w:hyperlink>
    </w:p>
    <w:p w14:paraId="62C63E33" w14:textId="144E62A1" w:rsidR="00B61716" w:rsidRDefault="00B61716" w:rsidP="00B61716">
      <w:pPr>
        <w:rPr>
          <w:rStyle w:val="Hyperlink"/>
          <w:lang w:val="fr-FR"/>
        </w:rPr>
      </w:pPr>
      <w:r w:rsidRPr="002E7084">
        <w:rPr>
          <w:lang w:val="fr-FR"/>
        </w:rPr>
        <w:t xml:space="preserve">Joanne McPhie, Information Services, Brunel University London, </w:t>
      </w:r>
      <w:hyperlink r:id="rId11" w:history="1">
        <w:r w:rsidRPr="00A25FAB">
          <w:rPr>
            <w:rStyle w:val="Hyperlink"/>
            <w:lang w:val="fr-FR"/>
          </w:rPr>
          <w:t>Joanne.Mcphie@brunel.ac.uk</w:t>
        </w:r>
      </w:hyperlink>
    </w:p>
    <w:p w14:paraId="1E2A6D4B" w14:textId="79FB3FEE" w:rsidR="0058212C" w:rsidRDefault="0058212C" w:rsidP="00B61716">
      <w:r w:rsidRPr="0058212C">
        <w:t xml:space="preserve">Ines Carvalho De Azevedo Moreira, </w:t>
      </w:r>
      <w:r>
        <w:t xml:space="preserve">Department of Life Sciences, Brunel University London, </w:t>
      </w:r>
      <w:hyperlink r:id="rId12" w:history="1">
        <w:r w:rsidRPr="009A4D2F">
          <w:rPr>
            <w:rStyle w:val="Hyperlink"/>
          </w:rPr>
          <w:t>ines.moreira@brunel.ac.uk</w:t>
        </w:r>
      </w:hyperlink>
      <w:r>
        <w:t xml:space="preserve"> </w:t>
      </w:r>
    </w:p>
    <w:p w14:paraId="42CB0D66" w14:textId="472164E0" w:rsidR="0058212C" w:rsidRDefault="0058212C" w:rsidP="00B61716">
      <w:r>
        <w:t xml:space="preserve">Georgina Collins, Department of Life Sciences, Brunel University London, </w:t>
      </w:r>
      <w:hyperlink r:id="rId13" w:history="1">
        <w:r w:rsidRPr="009A4D2F">
          <w:rPr>
            <w:rStyle w:val="Hyperlink"/>
          </w:rPr>
          <w:t>Georgina.Collins@brunel.ac.uk</w:t>
        </w:r>
      </w:hyperlink>
      <w:r>
        <w:t xml:space="preserve"> </w:t>
      </w:r>
    </w:p>
    <w:p w14:paraId="6FFD44CD" w14:textId="17050560" w:rsidR="00F80BA8" w:rsidRPr="0058212C" w:rsidRDefault="00F80BA8" w:rsidP="00B61716">
      <w:r>
        <w:t xml:space="preserve">Stefania Oliverio, Department of Life Sciences, Brunel University London, </w:t>
      </w:r>
      <w:hyperlink r:id="rId14" w:history="1">
        <w:r w:rsidRPr="00384C91">
          <w:rPr>
            <w:rStyle w:val="Hyperlink"/>
          </w:rPr>
          <w:t>Stefania.Oliverio@brunel.ac.uk</w:t>
        </w:r>
      </w:hyperlink>
      <w:r>
        <w:t xml:space="preserve"> </w:t>
      </w:r>
    </w:p>
    <w:p w14:paraId="6799EE06" w14:textId="12E583FF" w:rsidR="00B61716" w:rsidRDefault="00B61716" w:rsidP="00B61716">
      <w:pPr>
        <w:rPr>
          <w:rStyle w:val="Hyperlink"/>
        </w:rPr>
      </w:pPr>
      <w:r>
        <w:t xml:space="preserve">Martin Scholze, Institute for the </w:t>
      </w:r>
      <w:bookmarkStart w:id="0" w:name="_Hlk8576998"/>
      <w:r>
        <w:t>Environment</w:t>
      </w:r>
      <w:bookmarkEnd w:id="0"/>
      <w:r>
        <w:t xml:space="preserve">, Health and Societies, Brunel University London, </w:t>
      </w:r>
      <w:hyperlink r:id="rId15" w:history="1">
        <w:r w:rsidRPr="00A25FAB">
          <w:rPr>
            <w:rStyle w:val="Hyperlink"/>
          </w:rPr>
          <w:t>martin.scholze@brunel.ac.uk</w:t>
        </w:r>
      </w:hyperlink>
    </w:p>
    <w:p w14:paraId="0A0580BE" w14:textId="471B19D7" w:rsidR="00014607" w:rsidRDefault="00014607" w:rsidP="00B61716">
      <w:pPr>
        <w:rPr>
          <w:rStyle w:val="Hyperlink"/>
        </w:rPr>
      </w:pPr>
      <w:r w:rsidRPr="00D55E63">
        <w:rPr>
          <w:rStyle w:val="Hyperlink"/>
          <w:color w:val="auto"/>
          <w:u w:val="none"/>
        </w:rPr>
        <w:t>Maria Arena, European Food Standard Authority, Parma,</w:t>
      </w:r>
      <w:r w:rsidR="006F201A" w:rsidRPr="00D55E63">
        <w:rPr>
          <w:rStyle w:val="Hyperlink"/>
          <w:color w:val="auto"/>
          <w:u w:val="none"/>
        </w:rPr>
        <w:t xml:space="preserve"> </w:t>
      </w:r>
      <w:r w:rsidRPr="00D55E63">
        <w:rPr>
          <w:rStyle w:val="Hyperlink"/>
          <w:color w:val="auto"/>
          <w:u w:val="none"/>
        </w:rPr>
        <w:t xml:space="preserve"> </w:t>
      </w:r>
      <w:hyperlink r:id="rId16" w:history="1">
        <w:r w:rsidRPr="00111CEA">
          <w:rPr>
            <w:rStyle w:val="Hyperlink"/>
          </w:rPr>
          <w:t>Maria.Arena@efsa.europe.eu</w:t>
        </w:r>
      </w:hyperlink>
      <w:r>
        <w:rPr>
          <w:rStyle w:val="Hyperlink"/>
        </w:rPr>
        <w:t xml:space="preserve"> </w:t>
      </w:r>
    </w:p>
    <w:p w14:paraId="722C6CC7" w14:textId="77777777" w:rsidR="00C67BD1" w:rsidRDefault="00766983" w:rsidP="00B61716">
      <w:r>
        <w:t xml:space="preserve">Stefania </w:t>
      </w:r>
      <w:proofErr w:type="spellStart"/>
      <w:r>
        <w:t>Barmaz</w:t>
      </w:r>
      <w:proofErr w:type="spellEnd"/>
      <w:r>
        <w:t xml:space="preserve">, European Food Standard Authority, Parma, </w:t>
      </w:r>
      <w:hyperlink r:id="rId17" w:history="1">
        <w:r w:rsidRPr="009A4D2F">
          <w:rPr>
            <w:rStyle w:val="Hyperlink"/>
          </w:rPr>
          <w:t>Stefania.BARMAZ@efsa.europa.eu</w:t>
        </w:r>
      </w:hyperlink>
      <w:r>
        <w:t xml:space="preserve"> </w:t>
      </w:r>
    </w:p>
    <w:p w14:paraId="6E891979" w14:textId="0EDAA56F" w:rsidR="00B61716" w:rsidRPr="00CD52E1" w:rsidRDefault="00C67BD1" w:rsidP="00D55E63">
      <w:r w:rsidRPr="00C67BD1">
        <w:t xml:space="preserve">Laura </w:t>
      </w:r>
      <w:proofErr w:type="spellStart"/>
      <w:r w:rsidRPr="00C67BD1">
        <w:t>Villamar-Bouza</w:t>
      </w:r>
      <w:proofErr w:type="spellEnd"/>
      <w:r w:rsidRPr="00C67BD1">
        <w:t>, European F</w:t>
      </w:r>
      <w:r w:rsidRPr="005A0F8C">
        <w:t>ood S</w:t>
      </w:r>
      <w:r>
        <w:t xml:space="preserve">tandard Authority, Parma, </w:t>
      </w:r>
      <w:hyperlink r:id="rId18" w:history="1">
        <w:r w:rsidR="00E736E4" w:rsidRPr="00CB1670">
          <w:rPr>
            <w:rStyle w:val="Hyperlink"/>
          </w:rPr>
          <w:t>Laura.VILLAMARBOUZA@efsa.europa.eu</w:t>
        </w:r>
      </w:hyperlink>
    </w:p>
    <w:p w14:paraId="1CA33C68" w14:textId="77777777" w:rsidR="00B61716" w:rsidRDefault="00B61716" w:rsidP="00B61716">
      <w:pPr>
        <w:pStyle w:val="Heading2"/>
      </w:pPr>
      <w:r>
        <w:t>Authors’ contributions</w:t>
      </w:r>
    </w:p>
    <w:p w14:paraId="3D512897" w14:textId="78E1271B" w:rsidR="00766983" w:rsidRDefault="00D14AFE" w:rsidP="00766983">
      <w:pPr>
        <w:jc w:val="both"/>
      </w:pPr>
      <w:r>
        <w:t xml:space="preserve">Brunel University submitted a tender that met the technical specifications of the invitation to tender developed by </w:t>
      </w:r>
      <w:r w:rsidR="007A300A">
        <w:t xml:space="preserve">European </w:t>
      </w:r>
      <w:r w:rsidR="00766983">
        <w:t>Food Standard Authority</w:t>
      </w:r>
      <w:r w:rsidR="007A300A">
        <w:t xml:space="preserve"> (</w:t>
      </w:r>
      <w:r w:rsidR="00766983">
        <w:t>EFSA</w:t>
      </w:r>
      <w:r w:rsidR="007A300A">
        <w:t>)</w:t>
      </w:r>
      <w:r>
        <w:t xml:space="preserve">. The successful proposal was drafted collaboratively by </w:t>
      </w:r>
      <w:r w:rsidR="00766983">
        <w:t>AB, SE</w:t>
      </w:r>
      <w:r>
        <w:t xml:space="preserve"> and OVM with the input of JMcP and </w:t>
      </w:r>
      <w:r w:rsidR="00766983">
        <w:t>MS</w:t>
      </w:r>
      <w:r>
        <w:t xml:space="preserve">. </w:t>
      </w:r>
      <w:r w:rsidR="00766983">
        <w:t xml:space="preserve">AB contributed her specialist expertise in ecotoxicology and endocrine disruption in wildlife. </w:t>
      </w:r>
      <w:r>
        <w:t xml:space="preserve">SE contributed </w:t>
      </w:r>
      <w:r w:rsidR="00766983">
        <w:t>he</w:t>
      </w:r>
      <w:r>
        <w:t xml:space="preserve">r specialist expertise in </w:t>
      </w:r>
      <w:r w:rsidR="00766983">
        <w:t>endocrine disruption</w:t>
      </w:r>
      <w:r w:rsidR="006633C0">
        <w:t xml:space="preserve"> and steroidogenesis</w:t>
      </w:r>
      <w:r w:rsidR="00766983">
        <w:t xml:space="preserve"> </w:t>
      </w:r>
      <w:r w:rsidRPr="00B651BF">
        <w:rPr>
          <w:i/>
        </w:rPr>
        <w:t>in vitro</w:t>
      </w:r>
      <w:r>
        <w:t xml:space="preserve">. JMcP contributed her expert knowledge on information systems and literature databases. OVM contributed her knowledge of </w:t>
      </w:r>
      <w:r w:rsidR="00766983">
        <w:t xml:space="preserve">endocrine disruption and </w:t>
      </w:r>
      <w:r>
        <w:t xml:space="preserve">good practice of systematic review methods. MS contributed his expertise in the </w:t>
      </w:r>
      <w:r>
        <w:lastRenderedPageBreak/>
        <w:t xml:space="preserve">mathematical and statistical assessment of </w:t>
      </w:r>
      <w:r w:rsidR="00766983">
        <w:t>validated test guidelines</w:t>
      </w:r>
      <w:r>
        <w:t xml:space="preserve">. </w:t>
      </w:r>
      <w:r w:rsidR="00F80BA8">
        <w:t>IM, GC and SO carried out pilot literature searches and assisted with piloting the data extraction template.</w:t>
      </w:r>
    </w:p>
    <w:p w14:paraId="2064AF7D" w14:textId="77777777" w:rsidR="00B61716" w:rsidRDefault="00B61716" w:rsidP="00B61716">
      <w:pPr>
        <w:pStyle w:val="Heading2"/>
      </w:pPr>
      <w:r>
        <w:t>Funding and sources of support</w:t>
      </w:r>
    </w:p>
    <w:p w14:paraId="51AD0A47" w14:textId="467BB046" w:rsidR="00B61716" w:rsidRDefault="00B61716" w:rsidP="00871A87">
      <w:pPr>
        <w:jc w:val="both"/>
      </w:pPr>
      <w:r>
        <w:t xml:space="preserve">The time spent on this project by Olwenn V Martin, </w:t>
      </w:r>
      <w:r w:rsidR="00766983">
        <w:t xml:space="preserve">Alice Baynes, </w:t>
      </w:r>
      <w:r w:rsidR="00D14AFE">
        <w:t xml:space="preserve">Martin Scholze, </w:t>
      </w:r>
      <w:r>
        <w:t xml:space="preserve">Sibylle Ermler, Joanne McPhie and </w:t>
      </w:r>
      <w:r w:rsidR="00766983">
        <w:t>research assistants Ines Moreira</w:t>
      </w:r>
      <w:r w:rsidR="00F80BA8">
        <w:t>,</w:t>
      </w:r>
      <w:r w:rsidR="00766983">
        <w:t xml:space="preserve"> Georgina Collins</w:t>
      </w:r>
      <w:r w:rsidR="00F80BA8">
        <w:t xml:space="preserve"> and Stefania Oliverio</w:t>
      </w:r>
      <w:r>
        <w:t xml:space="preserve"> is funded by </w:t>
      </w:r>
      <w:r w:rsidR="00766983">
        <w:t>EFSA</w:t>
      </w:r>
      <w:r>
        <w:t>. Additionally</w:t>
      </w:r>
      <w:r w:rsidR="00871A87">
        <w:t>,</w:t>
      </w:r>
      <w:r>
        <w:t xml:space="preserve"> Ste</w:t>
      </w:r>
      <w:r w:rsidR="00766983">
        <w:t>fania Barmaz, Simona Affani, Maria Arena</w:t>
      </w:r>
      <w:r w:rsidR="00C67BD1">
        <w:t xml:space="preserve">, Laura </w:t>
      </w:r>
      <w:proofErr w:type="spellStart"/>
      <w:r w:rsidR="00C67BD1">
        <w:t>Villamar-Bouza</w:t>
      </w:r>
      <w:proofErr w:type="spellEnd"/>
      <w:r w:rsidR="00766983">
        <w:t xml:space="preserve"> and Cristina Martin, </w:t>
      </w:r>
      <w:r>
        <w:t xml:space="preserve">all employed by </w:t>
      </w:r>
      <w:r w:rsidR="00766983">
        <w:t>EFSA</w:t>
      </w:r>
      <w:r>
        <w:t>, contribute</w:t>
      </w:r>
      <w:r w:rsidR="00766983">
        <w:t>d</w:t>
      </w:r>
      <w:r>
        <w:t xml:space="preserve"> their time and expertise in kind.</w:t>
      </w:r>
    </w:p>
    <w:p w14:paraId="767024A6" w14:textId="77777777" w:rsidR="00D14AFE" w:rsidRPr="00D14AFE" w:rsidRDefault="00D14AFE" w:rsidP="00871A87">
      <w:pPr>
        <w:jc w:val="both"/>
        <w:rPr>
          <w:u w:val="single"/>
        </w:rPr>
      </w:pPr>
      <w:r w:rsidRPr="00D14AFE">
        <w:rPr>
          <w:u w:val="single"/>
        </w:rPr>
        <w:t>Role of the funder:</w:t>
      </w:r>
    </w:p>
    <w:p w14:paraId="473AF2DC" w14:textId="147C554E" w:rsidR="00B61716" w:rsidRDefault="00B61716" w:rsidP="00B61716">
      <w:pPr>
        <w:jc w:val="both"/>
      </w:pPr>
      <w:r>
        <w:t xml:space="preserve">The protocol for this systematic </w:t>
      </w:r>
      <w:r w:rsidR="00766983">
        <w:t>evidence map</w:t>
      </w:r>
      <w:r>
        <w:t xml:space="preserve"> was developed in response to an invitation to tender (</w:t>
      </w:r>
      <w:r w:rsidRPr="00591271">
        <w:t xml:space="preserve">Procedure reference number: </w:t>
      </w:r>
      <w:r w:rsidR="00766983" w:rsidRPr="00766983">
        <w:t>NP/EFSA/PRAS/2018/02</w:t>
      </w:r>
      <w:r>
        <w:t>).</w:t>
      </w:r>
    </w:p>
    <w:p w14:paraId="3B83B3D2" w14:textId="1BBB0091" w:rsidR="00B61716" w:rsidRDefault="00640A5E" w:rsidP="00640A5E">
      <w:pPr>
        <w:pStyle w:val="Heading2"/>
      </w:pPr>
      <w:r>
        <w:t>Competing interests</w:t>
      </w:r>
    </w:p>
    <w:p w14:paraId="701184ED" w14:textId="46935000" w:rsidR="00F80BA8" w:rsidRPr="00F80BA8" w:rsidRDefault="00F80BA8" w:rsidP="00F80BA8">
      <w:r>
        <w:t>Before the contract was awarded, all team members employed by Brunel University London duly completed declarations of interests. The authors have no competing interests to declare.</w:t>
      </w:r>
    </w:p>
    <w:p w14:paraId="712ED7BC" w14:textId="77777777" w:rsidR="00D14AFE" w:rsidRDefault="00D14AFE">
      <w:pPr>
        <w:rPr>
          <w:i/>
        </w:rPr>
      </w:pPr>
      <w:r>
        <w:rPr>
          <w:i/>
        </w:rPr>
        <w:br w:type="page"/>
      </w:r>
    </w:p>
    <w:p w14:paraId="2D1738F7" w14:textId="77777777" w:rsidR="00D14AFE" w:rsidRDefault="00D14AFE" w:rsidP="00D14AFE">
      <w:pPr>
        <w:pStyle w:val="Heading1"/>
      </w:pPr>
      <w:r>
        <w:lastRenderedPageBreak/>
        <w:t>Introduction</w:t>
      </w:r>
    </w:p>
    <w:p w14:paraId="6EF12455" w14:textId="0D41B150" w:rsidR="00D14AFE" w:rsidRDefault="00D14AFE" w:rsidP="00D14AFE">
      <w:pPr>
        <w:pStyle w:val="Heading2"/>
      </w:pPr>
      <w:r>
        <w:t>R</w:t>
      </w:r>
      <w:r w:rsidR="0085382E">
        <w:t>egulatory r</w:t>
      </w:r>
      <w:r>
        <w:t>ationale</w:t>
      </w:r>
    </w:p>
    <w:p w14:paraId="4CC5C425" w14:textId="386B0C76" w:rsidR="0085382E" w:rsidRPr="0085382E" w:rsidRDefault="0085382E" w:rsidP="005A0F8C">
      <w:pPr>
        <w:pStyle w:val="Heading2"/>
        <w:jc w:val="both"/>
      </w:pPr>
      <w:bookmarkStart w:id="1" w:name="_Toc497491816"/>
      <w:r w:rsidRPr="0085382E">
        <w:rPr>
          <w:rFonts w:asciiTheme="minorHAnsi" w:eastAsiaTheme="minorHAnsi" w:hAnsiTheme="minorHAnsi" w:cstheme="minorBidi"/>
          <w:color w:val="auto"/>
          <w:sz w:val="22"/>
          <w:szCs w:val="22"/>
        </w:rPr>
        <w:t xml:space="preserve">Within the EU, the approval of pesticides is regulated by Regulation (EC) No 1107/2009. An amendment to this Regulation (Regulation (EU) No 2018/605), which establishes the scientific criteria for the identification of pesticide active substances with endocrine disrupting (ED) properties, was </w:t>
      </w:r>
      <w:r w:rsidR="00AC690A">
        <w:rPr>
          <w:rFonts w:asciiTheme="minorHAnsi" w:eastAsiaTheme="minorHAnsi" w:hAnsiTheme="minorHAnsi" w:cstheme="minorBidi"/>
          <w:color w:val="auto"/>
          <w:sz w:val="22"/>
          <w:szCs w:val="22"/>
        </w:rPr>
        <w:t>published</w:t>
      </w:r>
      <w:r w:rsidRPr="0085382E">
        <w:rPr>
          <w:rFonts w:asciiTheme="minorHAnsi" w:eastAsiaTheme="minorHAnsi" w:hAnsiTheme="minorHAnsi" w:cstheme="minorBidi"/>
          <w:color w:val="auto"/>
          <w:sz w:val="22"/>
          <w:szCs w:val="22"/>
        </w:rPr>
        <w:t xml:space="preserve"> in April 201</w:t>
      </w:r>
      <w:r w:rsidR="00AC690A">
        <w:rPr>
          <w:rFonts w:asciiTheme="minorHAnsi" w:eastAsiaTheme="minorHAnsi" w:hAnsiTheme="minorHAnsi" w:cstheme="minorBidi"/>
          <w:color w:val="auto"/>
          <w:sz w:val="22"/>
          <w:szCs w:val="22"/>
        </w:rPr>
        <w:t>8</w:t>
      </w:r>
      <w:r w:rsidRPr="0085382E">
        <w:rPr>
          <w:rFonts w:asciiTheme="minorHAnsi" w:eastAsiaTheme="minorHAnsi" w:hAnsiTheme="minorHAnsi" w:cstheme="minorBidi"/>
          <w:color w:val="auto"/>
          <w:sz w:val="22"/>
          <w:szCs w:val="22"/>
        </w:rPr>
        <w:t>. In June 2018, E</w:t>
      </w:r>
      <w:r w:rsidR="00D55E63">
        <w:rPr>
          <w:rFonts w:asciiTheme="minorHAnsi" w:eastAsiaTheme="minorHAnsi" w:hAnsiTheme="minorHAnsi" w:cstheme="minorBidi"/>
          <w:color w:val="auto"/>
          <w:sz w:val="22"/>
          <w:szCs w:val="22"/>
        </w:rPr>
        <w:t xml:space="preserve">uropean </w:t>
      </w:r>
      <w:r w:rsidRPr="0085382E">
        <w:rPr>
          <w:rFonts w:asciiTheme="minorHAnsi" w:eastAsiaTheme="minorHAnsi" w:hAnsiTheme="minorHAnsi" w:cstheme="minorBidi"/>
          <w:color w:val="auto"/>
          <w:sz w:val="22"/>
          <w:szCs w:val="22"/>
        </w:rPr>
        <w:t>F</w:t>
      </w:r>
      <w:r w:rsidR="00D55E63">
        <w:rPr>
          <w:rFonts w:asciiTheme="minorHAnsi" w:eastAsiaTheme="minorHAnsi" w:hAnsiTheme="minorHAnsi" w:cstheme="minorBidi"/>
          <w:color w:val="auto"/>
          <w:sz w:val="22"/>
          <w:szCs w:val="22"/>
        </w:rPr>
        <w:t xml:space="preserve">ood </w:t>
      </w:r>
      <w:r w:rsidRPr="0085382E">
        <w:rPr>
          <w:rFonts w:asciiTheme="minorHAnsi" w:eastAsiaTheme="minorHAnsi" w:hAnsiTheme="minorHAnsi" w:cstheme="minorBidi"/>
          <w:color w:val="auto"/>
          <w:sz w:val="22"/>
          <w:szCs w:val="22"/>
        </w:rPr>
        <w:t>S</w:t>
      </w:r>
      <w:r w:rsidR="00D55E63">
        <w:rPr>
          <w:rFonts w:asciiTheme="minorHAnsi" w:eastAsiaTheme="minorHAnsi" w:hAnsiTheme="minorHAnsi" w:cstheme="minorBidi"/>
          <w:color w:val="auto"/>
          <w:sz w:val="22"/>
          <w:szCs w:val="22"/>
        </w:rPr>
        <w:t xml:space="preserve">tandard </w:t>
      </w:r>
      <w:r w:rsidRPr="0085382E">
        <w:rPr>
          <w:rFonts w:asciiTheme="minorHAnsi" w:eastAsiaTheme="minorHAnsi" w:hAnsiTheme="minorHAnsi" w:cstheme="minorBidi"/>
          <w:color w:val="auto"/>
          <w:sz w:val="22"/>
          <w:szCs w:val="22"/>
        </w:rPr>
        <w:t>A</w:t>
      </w:r>
      <w:r w:rsidR="00D55E63">
        <w:rPr>
          <w:rFonts w:asciiTheme="minorHAnsi" w:eastAsiaTheme="minorHAnsi" w:hAnsiTheme="minorHAnsi" w:cstheme="minorBidi"/>
          <w:color w:val="auto"/>
          <w:sz w:val="22"/>
          <w:szCs w:val="22"/>
        </w:rPr>
        <w:t>uthority</w:t>
      </w:r>
      <w:r w:rsidR="00AC690A">
        <w:rPr>
          <w:rFonts w:asciiTheme="minorHAnsi" w:eastAsiaTheme="minorHAnsi" w:hAnsiTheme="minorHAnsi" w:cstheme="minorBidi"/>
          <w:color w:val="auto"/>
          <w:sz w:val="22"/>
          <w:szCs w:val="22"/>
        </w:rPr>
        <w:t>,</w:t>
      </w:r>
      <w:r w:rsidRPr="0085382E">
        <w:rPr>
          <w:rFonts w:asciiTheme="minorHAnsi" w:eastAsiaTheme="minorHAnsi" w:hAnsiTheme="minorHAnsi" w:cstheme="minorBidi"/>
          <w:color w:val="auto"/>
          <w:sz w:val="22"/>
          <w:szCs w:val="22"/>
        </w:rPr>
        <w:t xml:space="preserve"> the European Chemicals Agency (ECHA) </w:t>
      </w:r>
      <w:r w:rsidR="00AC690A">
        <w:rPr>
          <w:rFonts w:asciiTheme="minorHAnsi" w:eastAsiaTheme="minorHAnsi" w:hAnsiTheme="minorHAnsi" w:cstheme="minorBidi"/>
          <w:color w:val="auto"/>
          <w:sz w:val="22"/>
          <w:szCs w:val="22"/>
        </w:rPr>
        <w:t xml:space="preserve">and the Joint Research Centre (JRC) </w:t>
      </w:r>
      <w:r w:rsidRPr="0085382E">
        <w:rPr>
          <w:rFonts w:asciiTheme="minorHAnsi" w:eastAsiaTheme="minorHAnsi" w:hAnsiTheme="minorHAnsi" w:cstheme="minorBidi"/>
          <w:color w:val="auto"/>
          <w:sz w:val="22"/>
          <w:szCs w:val="22"/>
        </w:rPr>
        <w:t>published a guidance document on the implementation of the scientific criteria</w:t>
      </w:r>
      <w:r w:rsidR="009161D6">
        <w:rPr>
          <w:rFonts w:asciiTheme="minorHAnsi" w:eastAsiaTheme="minorHAnsi" w:hAnsiTheme="minorHAnsi" w:cstheme="minorBidi"/>
          <w:color w:val="auto"/>
          <w:sz w:val="22"/>
          <w:szCs w:val="22"/>
        </w:rPr>
        <w:t>,</w:t>
      </w:r>
      <w:r w:rsidRPr="0085382E">
        <w:rPr>
          <w:rFonts w:asciiTheme="minorHAnsi" w:eastAsiaTheme="minorHAnsi" w:hAnsiTheme="minorHAnsi" w:cstheme="minorBidi"/>
          <w:color w:val="auto"/>
          <w:sz w:val="22"/>
          <w:szCs w:val="22"/>
        </w:rPr>
        <w:t xml:space="preserve"> this publication primarily addresses the Estrogen, Androgen, Steroidogenesis and Thyroid, known as ‘EATS’, modalities in vertebrates. It specifically included recommendations on how to perform hormonal measurements in mammalians. However, when it comes to non-mammalian vertebrate test guidelines (TG)</w:t>
      </w:r>
      <w:r w:rsidR="00AC690A">
        <w:rPr>
          <w:rFonts w:asciiTheme="minorHAnsi" w:eastAsiaTheme="minorHAnsi" w:hAnsiTheme="minorHAnsi" w:cstheme="minorBidi"/>
          <w:color w:val="auto"/>
          <w:sz w:val="22"/>
          <w:szCs w:val="22"/>
        </w:rPr>
        <w:t>,</w:t>
      </w:r>
      <w:r w:rsidRPr="0085382E">
        <w:rPr>
          <w:rFonts w:asciiTheme="minorHAnsi" w:eastAsiaTheme="minorHAnsi" w:hAnsiTheme="minorHAnsi" w:cstheme="minorBidi"/>
          <w:color w:val="auto"/>
          <w:sz w:val="22"/>
          <w:szCs w:val="22"/>
        </w:rPr>
        <w:t xml:space="preserve"> there are a number of ‘gaps’ which need to be filled to fully address assessment of ‘EATS’ modalities and mirror mammalian TGs. For example, in the OECD test models which do address endocrine specific endpoints (i.e. amphibians and fish) there are no specific recommendations on which hormones to measure, how or when to measure hormones</w:t>
      </w:r>
      <w:r w:rsidR="007300EF">
        <w:rPr>
          <w:rFonts w:asciiTheme="minorHAnsi" w:eastAsiaTheme="minorHAnsi" w:hAnsiTheme="minorHAnsi" w:cstheme="minorBidi"/>
          <w:color w:val="auto"/>
          <w:sz w:val="22"/>
          <w:szCs w:val="22"/>
        </w:rPr>
        <w:t>,</w:t>
      </w:r>
      <w:r w:rsidRPr="0085382E">
        <w:rPr>
          <w:rFonts w:asciiTheme="minorHAnsi" w:eastAsiaTheme="minorHAnsi" w:hAnsiTheme="minorHAnsi" w:cstheme="minorBidi"/>
          <w:color w:val="auto"/>
          <w:sz w:val="22"/>
          <w:szCs w:val="22"/>
        </w:rPr>
        <w:t xml:space="preserve"> or how to interpret the results. To harmonise vertebrate OECD TGs</w:t>
      </w:r>
      <w:r w:rsidR="00AC690A">
        <w:rPr>
          <w:rFonts w:asciiTheme="minorHAnsi" w:eastAsiaTheme="minorHAnsi" w:hAnsiTheme="minorHAnsi" w:cstheme="minorBidi"/>
          <w:color w:val="auto"/>
          <w:sz w:val="22"/>
          <w:szCs w:val="22"/>
        </w:rPr>
        <w:t>,</w:t>
      </w:r>
      <w:r w:rsidRPr="0085382E">
        <w:rPr>
          <w:rFonts w:asciiTheme="minorHAnsi" w:eastAsiaTheme="minorHAnsi" w:hAnsiTheme="minorHAnsi" w:cstheme="minorBidi"/>
          <w:color w:val="auto"/>
          <w:sz w:val="22"/>
          <w:szCs w:val="22"/>
        </w:rPr>
        <w:t xml:space="preserve"> these additional endpoints need to be </w:t>
      </w:r>
      <w:r w:rsidR="00AC690A">
        <w:rPr>
          <w:rFonts w:asciiTheme="minorHAnsi" w:eastAsiaTheme="minorHAnsi" w:hAnsiTheme="minorHAnsi" w:cstheme="minorBidi"/>
          <w:color w:val="auto"/>
          <w:sz w:val="22"/>
          <w:szCs w:val="22"/>
        </w:rPr>
        <w:t>investigat</w:t>
      </w:r>
      <w:r w:rsidRPr="0085382E">
        <w:rPr>
          <w:rFonts w:asciiTheme="minorHAnsi" w:eastAsiaTheme="minorHAnsi" w:hAnsiTheme="minorHAnsi" w:cstheme="minorBidi"/>
          <w:color w:val="auto"/>
          <w:sz w:val="22"/>
          <w:szCs w:val="22"/>
        </w:rPr>
        <w:t>ed and therefore some guidance on how to perform, report and evaluate hormonal measurements in fish, birds and amphibians</w:t>
      </w:r>
      <w:r w:rsidR="00AC690A">
        <w:rPr>
          <w:rFonts w:asciiTheme="minorHAnsi" w:eastAsiaTheme="minorHAnsi" w:hAnsiTheme="minorHAnsi" w:cstheme="minorBidi"/>
          <w:color w:val="auto"/>
          <w:sz w:val="22"/>
          <w:szCs w:val="22"/>
        </w:rPr>
        <w:t xml:space="preserve"> </w:t>
      </w:r>
      <w:r w:rsidRPr="0085382E">
        <w:rPr>
          <w:rFonts w:asciiTheme="minorHAnsi" w:eastAsiaTheme="minorHAnsi" w:hAnsiTheme="minorHAnsi" w:cstheme="minorBidi"/>
          <w:color w:val="auto"/>
          <w:sz w:val="22"/>
          <w:szCs w:val="22"/>
        </w:rPr>
        <w:t>needs to be prepared.</w:t>
      </w:r>
    </w:p>
    <w:bookmarkEnd w:id="1"/>
    <w:p w14:paraId="730F4445" w14:textId="66003742" w:rsidR="00883FD9" w:rsidRDefault="0086403C" w:rsidP="005A0F8C">
      <w:pPr>
        <w:pStyle w:val="Heading1"/>
      </w:pPr>
      <w:r>
        <w:t>Aim and o</w:t>
      </w:r>
      <w:r w:rsidR="00883FD9">
        <w:t>bjectives</w:t>
      </w:r>
    </w:p>
    <w:p w14:paraId="5A44168E" w14:textId="6ED2E04B" w:rsidR="0086403C" w:rsidRDefault="0086403C" w:rsidP="00B50C93">
      <w:pPr>
        <w:jc w:val="both"/>
      </w:pPr>
      <w:r w:rsidRPr="2913E3F5">
        <w:t xml:space="preserve">The overall aim of this </w:t>
      </w:r>
      <w:r>
        <w:t>systematic evidence map</w:t>
      </w:r>
      <w:r w:rsidRPr="2913E3F5">
        <w:t xml:space="preserve"> is to collect and analyse data in support of the ED assessment (Estrogen, Androgen, Steroidogenesis and Thyroid) for non-target vertebrates in order to develop recommendations on how to perform, report and interpret hormonal measurements in fish, amphibians and birds in toxicity studies</w:t>
      </w:r>
      <w:r w:rsidR="00B50C93">
        <w:t>.</w:t>
      </w:r>
    </w:p>
    <w:p w14:paraId="2AF39B94" w14:textId="1AE19D2B" w:rsidR="00A02857" w:rsidRPr="00093332" w:rsidRDefault="00A02857" w:rsidP="00B50C93">
      <w:pPr>
        <w:jc w:val="both"/>
      </w:pPr>
      <w:r>
        <w:t>To support this aim, the specific objective of this evidence map is to collate literature that addresses the development, optimisation and/or validation</w:t>
      </w:r>
      <w:r w:rsidR="00FA355C">
        <w:t xml:space="preserve"> of</w:t>
      </w:r>
      <w:r>
        <w:t xml:space="preserve"> hormone measurement methods in fish, amphibian and bird species.</w:t>
      </w:r>
    </w:p>
    <w:p w14:paraId="7EB84B40" w14:textId="3CB67850" w:rsidR="00883FD9" w:rsidRPr="0086403C" w:rsidRDefault="00883FD9" w:rsidP="00883FD9">
      <w:pPr>
        <w:rPr>
          <w:i/>
          <w:iCs/>
          <w:color w:val="44546A" w:themeColor="text2"/>
          <w:sz w:val="18"/>
          <w:szCs w:val="18"/>
          <w:lang w:val="en-US" w:bidi="en-US"/>
        </w:rPr>
      </w:pPr>
      <w:bookmarkStart w:id="2" w:name="_Hlk501835993"/>
      <w:bookmarkStart w:id="3" w:name="_Ref497230521"/>
      <w:r>
        <w:br w:type="page"/>
      </w:r>
      <w:bookmarkEnd w:id="2"/>
      <w:bookmarkEnd w:id="3"/>
    </w:p>
    <w:p w14:paraId="7F2BE150" w14:textId="77777777" w:rsidR="0031075B" w:rsidRDefault="0031075B" w:rsidP="0031075B">
      <w:pPr>
        <w:pStyle w:val="Heading1"/>
      </w:pPr>
      <w:r>
        <w:lastRenderedPageBreak/>
        <w:t>Methods</w:t>
      </w:r>
    </w:p>
    <w:p w14:paraId="516FBF0F" w14:textId="0707083C" w:rsidR="001140DD" w:rsidRPr="001140DD" w:rsidRDefault="001140DD" w:rsidP="009E5153">
      <w:pPr>
        <w:jc w:val="both"/>
      </w:pPr>
      <w:r>
        <w:t xml:space="preserve">This </w:t>
      </w:r>
      <w:r w:rsidR="00AD3C17">
        <w:t xml:space="preserve">draft </w:t>
      </w:r>
      <w:r>
        <w:t xml:space="preserve">protocol </w:t>
      </w:r>
      <w:r w:rsidR="00EB7621">
        <w:t>has been</w:t>
      </w:r>
      <w:r>
        <w:t xml:space="preserve"> drafted with specific regards to the </w:t>
      </w:r>
      <w:r w:rsidRPr="001140DD">
        <w:t>PRISMA-P (Preferred Reporting Items for Systematic review and Meta-Analysis Protocols) 2015 checklist</w:t>
      </w:r>
      <w:r w:rsidR="00EB7621">
        <w:rPr>
          <w:rStyle w:val="FootnoteReference"/>
        </w:rPr>
        <w:footnoteReference w:id="2"/>
      </w:r>
      <w:r>
        <w:t xml:space="preserve"> and </w:t>
      </w:r>
      <w:r w:rsidR="00273E4A">
        <w:t xml:space="preserve">is </w:t>
      </w:r>
      <w:r>
        <w:t xml:space="preserve">giving due consideration to the </w:t>
      </w:r>
      <w:r w:rsidRPr="001140DD">
        <w:t>Code of Practice for the Conduct of Systematic Reviews in Toxicology and Environmental Health Research (COSTER)</w:t>
      </w:r>
      <w:r w:rsidR="00E11ADD">
        <w:rPr>
          <w:rStyle w:val="FootnoteReference"/>
        </w:rPr>
        <w:footnoteReference w:id="3"/>
      </w:r>
      <w:r w:rsidR="00E11ADD">
        <w:t>.</w:t>
      </w:r>
    </w:p>
    <w:p w14:paraId="47018C2C" w14:textId="77777777" w:rsidR="0031075B" w:rsidRDefault="0031075B" w:rsidP="0031075B">
      <w:pPr>
        <w:pStyle w:val="Heading2"/>
      </w:pPr>
      <w:r>
        <w:t>Eligibility criteria</w:t>
      </w:r>
    </w:p>
    <w:p w14:paraId="3C9DC42B" w14:textId="244F1B8F" w:rsidR="001D3891" w:rsidRDefault="001D3891" w:rsidP="001D3891">
      <w:pPr>
        <w:jc w:val="both"/>
        <w:rPr>
          <w:rFonts w:cs="Arial"/>
          <w:color w:val="000000"/>
          <w:shd w:val="clear" w:color="auto" w:fill="FFFFFF"/>
        </w:rPr>
      </w:pPr>
      <w:r w:rsidRPr="00D2309E">
        <w:rPr>
          <w:rFonts w:cs="Arial"/>
          <w:color w:val="000000"/>
          <w:shd w:val="clear" w:color="auto" w:fill="FFFFFF"/>
        </w:rPr>
        <w:t xml:space="preserve">Early decisions made during protocol development have significant impact on the scope and form of the </w:t>
      </w:r>
      <w:r>
        <w:rPr>
          <w:rFonts w:cs="Arial"/>
          <w:color w:val="000000"/>
          <w:shd w:val="clear" w:color="auto" w:fill="FFFFFF"/>
        </w:rPr>
        <w:t>systematic map</w:t>
      </w:r>
      <w:r w:rsidRPr="00D2309E">
        <w:rPr>
          <w:rFonts w:cs="Arial"/>
          <w:color w:val="000000"/>
          <w:shd w:val="clear" w:color="auto" w:fill="FFFFFF"/>
        </w:rPr>
        <w:t xml:space="preserve">. </w:t>
      </w:r>
      <w:r w:rsidRPr="00D2309E">
        <w:rPr>
          <w:rFonts w:cs="Arial"/>
        </w:rPr>
        <w:t xml:space="preserve">Protocol development is underpinned by imparting a common understanding of the context and motivation for the review. </w:t>
      </w:r>
      <w:r w:rsidRPr="00D2309E">
        <w:rPr>
          <w:rFonts w:cs="Arial"/>
          <w:color w:val="000000"/>
          <w:shd w:val="clear" w:color="auto" w:fill="FFFFFF"/>
        </w:rPr>
        <w:t>Well-formulated statements have a critical impact on other components of the review – including the literature search strategy, data extraction</w:t>
      </w:r>
      <w:r w:rsidRPr="00D2309E">
        <w:rPr>
          <w:rFonts w:cs="Arial"/>
          <w:shd w:val="clear" w:color="auto" w:fill="FFFFFF"/>
        </w:rPr>
        <w:t>,</w:t>
      </w:r>
      <w:r w:rsidR="00E11ADD">
        <w:rPr>
          <w:rFonts w:cs="Arial"/>
          <w:shd w:val="clear" w:color="auto" w:fill="FFFFFF"/>
        </w:rPr>
        <w:t xml:space="preserve"> synthesis </w:t>
      </w:r>
      <w:r w:rsidRPr="00D2309E">
        <w:rPr>
          <w:rFonts w:cs="Arial"/>
          <w:color w:val="000000"/>
          <w:shd w:val="clear" w:color="auto" w:fill="FFFFFF"/>
        </w:rPr>
        <w:t xml:space="preserve">and presentation of findings. </w:t>
      </w:r>
    </w:p>
    <w:p w14:paraId="0B7B86A8" w14:textId="6BBC6AF0" w:rsidR="001D3891" w:rsidRPr="00D2309E" w:rsidRDefault="001D3891" w:rsidP="001D3891">
      <w:pPr>
        <w:jc w:val="both"/>
        <w:rPr>
          <w:rFonts w:cs="Arial"/>
          <w:color w:val="000000" w:themeColor="text1"/>
        </w:rPr>
      </w:pPr>
      <w:r>
        <w:t xml:space="preserve">Question formulation follows a similar procedure as that for systematic reviews, i.e. using PI/ECO (population, intervention/exposure, comparator, outcome), PIT (population, index test, target condition) or PO (population, outcome) statements. </w:t>
      </w:r>
      <w:r w:rsidRPr="00A83DCF">
        <w:t xml:space="preserve">For </w:t>
      </w:r>
      <w:r>
        <w:t>this project</w:t>
      </w:r>
      <w:r w:rsidRPr="00A83DCF">
        <w:t>,</w:t>
      </w:r>
      <w:r>
        <w:t xml:space="preserve"> </w:t>
      </w:r>
      <w:r w:rsidR="00E11ADD">
        <w:t>research</w:t>
      </w:r>
      <w:r w:rsidRPr="00A83DCF">
        <w:t xml:space="preserve"> questions</w:t>
      </w:r>
      <w:r>
        <w:t xml:space="preserve"> </w:t>
      </w:r>
      <w:r w:rsidR="00E11ADD">
        <w:t xml:space="preserve">are </w:t>
      </w:r>
      <w:r w:rsidRPr="00A83DCF">
        <w:t xml:space="preserve">related to the </w:t>
      </w:r>
      <w:r>
        <w:t>reliability and relevance</w:t>
      </w:r>
      <w:r w:rsidRPr="00A83DCF">
        <w:t xml:space="preserve"> of test method</w:t>
      </w:r>
      <w:r>
        <w:t>s</w:t>
      </w:r>
      <w:r w:rsidRPr="00A83DCF">
        <w:t xml:space="preserve"> for detection or</w:t>
      </w:r>
      <w:r>
        <w:t xml:space="preserve"> </w:t>
      </w:r>
      <w:r w:rsidRPr="00A83DCF">
        <w:t>diagnosis, in which case the population (P), index test (I)</w:t>
      </w:r>
      <w:r>
        <w:t xml:space="preserve"> </w:t>
      </w:r>
      <w:r w:rsidRPr="00A83DCF">
        <w:t>and target c</w:t>
      </w:r>
      <w:r>
        <w:t xml:space="preserve">ondition (T) must be specified. </w:t>
      </w:r>
      <w:r w:rsidR="00E11ADD">
        <w:t>The</w:t>
      </w:r>
      <w:r w:rsidRPr="00D2309E">
        <w:rPr>
          <w:rFonts w:cs="Arial"/>
          <w:color w:val="000000"/>
          <w:shd w:val="clear" w:color="auto" w:fill="FFFFFF"/>
        </w:rPr>
        <w:t xml:space="preserve"> initial P</w:t>
      </w:r>
      <w:r>
        <w:rPr>
          <w:rFonts w:cs="Arial"/>
          <w:color w:val="000000"/>
          <w:shd w:val="clear" w:color="auto" w:fill="FFFFFF"/>
        </w:rPr>
        <w:t>IT</w:t>
      </w:r>
      <w:r w:rsidRPr="00D2309E">
        <w:rPr>
          <w:rFonts w:cs="Arial"/>
          <w:color w:val="000000"/>
          <w:shd w:val="clear" w:color="auto" w:fill="FFFFFF"/>
        </w:rPr>
        <w:t xml:space="preserve"> statement for is illustrated in Table 1</w:t>
      </w:r>
      <w:r w:rsidRPr="00D2309E">
        <w:t>.</w:t>
      </w:r>
    </w:p>
    <w:p w14:paraId="1CE99720" w14:textId="66E01604" w:rsidR="001D3891" w:rsidRPr="00A83DCF" w:rsidRDefault="001D3891" w:rsidP="001D3891">
      <w:pPr>
        <w:pStyle w:val="Caption"/>
      </w:pPr>
      <w:r w:rsidRPr="00A83DCF">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r w:rsidRPr="00A83DCF">
        <w:t>. PIT</w:t>
      </w:r>
      <w:r>
        <w:t xml:space="preserve"> statement</w:t>
      </w:r>
    </w:p>
    <w:tbl>
      <w:tblPr>
        <w:tblStyle w:val="GridTable4-Accent6"/>
        <w:tblW w:w="9351" w:type="dxa"/>
        <w:tblLook w:val="06A0" w:firstRow="1" w:lastRow="0" w:firstColumn="1" w:lastColumn="0" w:noHBand="1" w:noVBand="1"/>
      </w:tblPr>
      <w:tblGrid>
        <w:gridCol w:w="2263"/>
        <w:gridCol w:w="7088"/>
      </w:tblGrid>
      <w:tr w:rsidR="005A0F8C" w14:paraId="15B37E4B" w14:textId="77777777" w:rsidTr="00B550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1" w:type="dxa"/>
            <w:gridSpan w:val="2"/>
          </w:tcPr>
          <w:p w14:paraId="7E40C431" w14:textId="201A0918" w:rsidR="005A0F8C" w:rsidRDefault="005A0F8C" w:rsidP="00B53299">
            <w:pPr>
              <w:jc w:val="both"/>
            </w:pPr>
            <w:r w:rsidRPr="005A0F8C">
              <w:t xml:space="preserve">How do available methods to measure hormones related to the estrogen, androgen, steroidogenesis and thyroid hormones pathways in </w:t>
            </w:r>
            <w:r w:rsidR="00C45A17">
              <w:t xml:space="preserve">non-mammalian </w:t>
            </w:r>
            <w:r w:rsidRPr="005A0F8C">
              <w:t>vertebrate species (birds, fish and amphibians) perform?</w:t>
            </w:r>
          </w:p>
        </w:tc>
      </w:tr>
      <w:tr w:rsidR="001D3891" w14:paraId="66809B75" w14:textId="77777777" w:rsidTr="005A0F8C">
        <w:tc>
          <w:tcPr>
            <w:cnfStyle w:val="001000000000" w:firstRow="0" w:lastRow="0" w:firstColumn="1" w:lastColumn="0" w:oddVBand="0" w:evenVBand="0" w:oddHBand="0" w:evenHBand="0" w:firstRowFirstColumn="0" w:firstRowLastColumn="0" w:lastRowFirstColumn="0" w:lastRowLastColumn="0"/>
            <w:tcW w:w="2263" w:type="dxa"/>
          </w:tcPr>
          <w:p w14:paraId="48577407" w14:textId="77777777" w:rsidR="001D3891" w:rsidRPr="00A83DCF" w:rsidRDefault="001D3891" w:rsidP="00B53299">
            <w:pPr>
              <w:jc w:val="both"/>
              <w:rPr>
                <w:b w:val="0"/>
              </w:rPr>
            </w:pPr>
            <w:r w:rsidRPr="00A83DCF">
              <w:t>Population</w:t>
            </w:r>
          </w:p>
        </w:tc>
        <w:tc>
          <w:tcPr>
            <w:tcW w:w="7088" w:type="dxa"/>
          </w:tcPr>
          <w:p w14:paraId="5E0AFC5E" w14:textId="1D60880F" w:rsidR="001D3891" w:rsidRDefault="00B50C93" w:rsidP="00B53299">
            <w:pPr>
              <w:jc w:val="both"/>
              <w:cnfStyle w:val="000000000000" w:firstRow="0" w:lastRow="0" w:firstColumn="0" w:lastColumn="0" w:oddVBand="0" w:evenVBand="0" w:oddHBand="0" w:evenHBand="0" w:firstRowFirstColumn="0" w:firstRowLastColumn="0" w:lastRowFirstColumn="0" w:lastRowLastColumn="0"/>
            </w:pPr>
            <w:r>
              <w:t>S</w:t>
            </w:r>
            <w:r w:rsidR="001D3891">
              <w:t>pecies of fish, amphibians and birds</w:t>
            </w:r>
          </w:p>
        </w:tc>
      </w:tr>
      <w:tr w:rsidR="001D3891" w14:paraId="2E47E4C8" w14:textId="77777777" w:rsidTr="005A0F8C">
        <w:tc>
          <w:tcPr>
            <w:cnfStyle w:val="001000000000" w:firstRow="0" w:lastRow="0" w:firstColumn="1" w:lastColumn="0" w:oddVBand="0" w:evenVBand="0" w:oddHBand="0" w:evenHBand="0" w:firstRowFirstColumn="0" w:firstRowLastColumn="0" w:lastRowFirstColumn="0" w:lastRowLastColumn="0"/>
            <w:tcW w:w="2263" w:type="dxa"/>
          </w:tcPr>
          <w:p w14:paraId="6ED8B443" w14:textId="77777777" w:rsidR="001D3891" w:rsidRPr="00A83DCF" w:rsidRDefault="001D3891" w:rsidP="00B53299">
            <w:pPr>
              <w:jc w:val="both"/>
              <w:rPr>
                <w:b w:val="0"/>
              </w:rPr>
            </w:pPr>
            <w:r w:rsidRPr="00A83DCF">
              <w:t>Index test</w:t>
            </w:r>
          </w:p>
        </w:tc>
        <w:tc>
          <w:tcPr>
            <w:tcW w:w="7088" w:type="dxa"/>
          </w:tcPr>
          <w:p w14:paraId="0A88699A" w14:textId="2AE5229E" w:rsidR="001D3891" w:rsidRDefault="001D3891" w:rsidP="00B53299">
            <w:pPr>
              <w:jc w:val="both"/>
              <w:cnfStyle w:val="000000000000" w:firstRow="0" w:lastRow="0" w:firstColumn="0" w:lastColumn="0" w:oddVBand="0" w:evenVBand="0" w:oddHBand="0" w:evenHBand="0" w:firstRowFirstColumn="0" w:firstRowLastColumn="0" w:lastRowFirstColumn="0" w:lastRowLastColumn="0"/>
            </w:pPr>
            <w:r>
              <w:t>Invasive or non-invasive hormonal measurement methods (related to EATS pathways)</w:t>
            </w:r>
          </w:p>
        </w:tc>
      </w:tr>
      <w:tr w:rsidR="001D3891" w14:paraId="0AE54508" w14:textId="77777777" w:rsidTr="005A0F8C">
        <w:tc>
          <w:tcPr>
            <w:cnfStyle w:val="001000000000" w:firstRow="0" w:lastRow="0" w:firstColumn="1" w:lastColumn="0" w:oddVBand="0" w:evenVBand="0" w:oddHBand="0" w:evenHBand="0" w:firstRowFirstColumn="0" w:firstRowLastColumn="0" w:lastRowFirstColumn="0" w:lastRowLastColumn="0"/>
            <w:tcW w:w="2263" w:type="dxa"/>
          </w:tcPr>
          <w:p w14:paraId="17208A1A" w14:textId="77777777" w:rsidR="001D3891" w:rsidRPr="00A83DCF" w:rsidRDefault="001D3891" w:rsidP="00B53299">
            <w:pPr>
              <w:jc w:val="both"/>
              <w:rPr>
                <w:b w:val="0"/>
              </w:rPr>
            </w:pPr>
            <w:r w:rsidRPr="00A83DCF">
              <w:t>Target conditions</w:t>
            </w:r>
          </w:p>
        </w:tc>
        <w:tc>
          <w:tcPr>
            <w:tcW w:w="7088" w:type="dxa"/>
          </w:tcPr>
          <w:p w14:paraId="565EB8D2" w14:textId="77777777" w:rsidR="001D3891" w:rsidRDefault="001D3891" w:rsidP="00B53299">
            <w:pPr>
              <w:jc w:val="both"/>
              <w:cnfStyle w:val="000000000000" w:firstRow="0" w:lastRow="0" w:firstColumn="0" w:lastColumn="0" w:oddVBand="0" w:evenVBand="0" w:oddHBand="0" w:evenHBand="0" w:firstRowFirstColumn="0" w:firstRowLastColumn="0" w:lastRowFirstColumn="0" w:lastRowLastColumn="0"/>
            </w:pPr>
            <w:r>
              <w:t>Detection of or supporting evidence for an endocrine disruption mode-of-action or adverse effect.</w:t>
            </w:r>
          </w:p>
        </w:tc>
      </w:tr>
    </w:tbl>
    <w:p w14:paraId="6F3AC4D3" w14:textId="7C31DF67" w:rsidR="001D3891" w:rsidRDefault="001D3891" w:rsidP="0098276B">
      <w:pPr>
        <w:jc w:val="both"/>
      </w:pPr>
    </w:p>
    <w:p w14:paraId="38F34F90" w14:textId="446E6661" w:rsidR="00F1350A" w:rsidRDefault="00F1350A" w:rsidP="00F1350A">
      <w:r>
        <w:t>This PIT statement is operationalised as inclusion and exclusion criteria as described in Table 2</w:t>
      </w:r>
      <w:r w:rsidR="00C45A17">
        <w:t xml:space="preserve"> overleaf</w:t>
      </w:r>
      <w:r>
        <w:t>.</w:t>
      </w:r>
    </w:p>
    <w:p w14:paraId="6135F440" w14:textId="77777777" w:rsidR="00C45A17" w:rsidRDefault="00C45A17">
      <w:pPr>
        <w:rPr>
          <w:i/>
          <w:iCs/>
          <w:color w:val="44546A" w:themeColor="text2"/>
          <w:sz w:val="18"/>
          <w:szCs w:val="18"/>
          <w:lang w:val="en-US" w:bidi="en-US"/>
        </w:rPr>
      </w:pPr>
      <w:r>
        <w:br w:type="page"/>
      </w:r>
    </w:p>
    <w:p w14:paraId="610684A8" w14:textId="20290873" w:rsidR="00A027B4" w:rsidRPr="00A83DCF" w:rsidRDefault="00A027B4" w:rsidP="00A027B4">
      <w:pPr>
        <w:pStyle w:val="Caption"/>
      </w:pPr>
      <w:r w:rsidRPr="00A83DCF">
        <w:lastRenderedPageBreak/>
        <w:t xml:space="preserve">Table </w:t>
      </w:r>
      <w:r>
        <w:rPr>
          <w:noProof/>
        </w:rPr>
        <w:t>2</w:t>
      </w:r>
      <w:r w:rsidRPr="00A83DCF">
        <w:t xml:space="preserve">. </w:t>
      </w:r>
      <w:r>
        <w:t>Eligibility criteria</w:t>
      </w:r>
    </w:p>
    <w:tbl>
      <w:tblPr>
        <w:tblStyle w:val="GridTable4-Accent6"/>
        <w:tblW w:w="9351" w:type="dxa"/>
        <w:tblLook w:val="06A0" w:firstRow="1" w:lastRow="0" w:firstColumn="1" w:lastColumn="0" w:noHBand="1" w:noVBand="1"/>
      </w:tblPr>
      <w:tblGrid>
        <w:gridCol w:w="2122"/>
        <w:gridCol w:w="2693"/>
        <w:gridCol w:w="2268"/>
        <w:gridCol w:w="2268"/>
      </w:tblGrid>
      <w:tr w:rsidR="00F1350A" w14:paraId="1F93D8D6" w14:textId="7D67C83E" w:rsidTr="00C45A1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205F7296" w14:textId="77777777" w:rsidR="00F1350A" w:rsidRPr="00A83DCF" w:rsidRDefault="00F1350A" w:rsidP="004F6859">
            <w:pPr>
              <w:jc w:val="both"/>
              <w:rPr>
                <w:b w:val="0"/>
              </w:rPr>
            </w:pPr>
          </w:p>
        </w:tc>
        <w:tc>
          <w:tcPr>
            <w:tcW w:w="2693" w:type="dxa"/>
          </w:tcPr>
          <w:p w14:paraId="08BB96C6" w14:textId="77777777" w:rsidR="00F1350A" w:rsidRDefault="00F1350A" w:rsidP="004F6859">
            <w:pPr>
              <w:jc w:val="both"/>
              <w:cnfStyle w:val="100000000000" w:firstRow="1" w:lastRow="0" w:firstColumn="0" w:lastColumn="0" w:oddVBand="0" w:evenVBand="0" w:oddHBand="0" w:evenHBand="0" w:firstRowFirstColumn="0" w:firstRowLastColumn="0" w:lastRowFirstColumn="0" w:lastRowLastColumn="0"/>
            </w:pPr>
          </w:p>
        </w:tc>
        <w:tc>
          <w:tcPr>
            <w:tcW w:w="2268" w:type="dxa"/>
          </w:tcPr>
          <w:p w14:paraId="783E5E0D" w14:textId="4130554B" w:rsidR="00F1350A" w:rsidRDefault="00F1350A" w:rsidP="004F6859">
            <w:pPr>
              <w:jc w:val="both"/>
              <w:cnfStyle w:val="100000000000" w:firstRow="1" w:lastRow="0" w:firstColumn="0" w:lastColumn="0" w:oddVBand="0" w:evenVBand="0" w:oddHBand="0" w:evenHBand="0" w:firstRowFirstColumn="0" w:firstRowLastColumn="0" w:lastRowFirstColumn="0" w:lastRowLastColumn="0"/>
            </w:pPr>
            <w:r>
              <w:t>Inclusion criteria</w:t>
            </w:r>
          </w:p>
        </w:tc>
        <w:tc>
          <w:tcPr>
            <w:tcW w:w="2268" w:type="dxa"/>
          </w:tcPr>
          <w:p w14:paraId="117A0037" w14:textId="4567F106" w:rsidR="00F1350A" w:rsidRDefault="00F1350A" w:rsidP="004F6859">
            <w:pPr>
              <w:jc w:val="both"/>
              <w:cnfStyle w:val="100000000000" w:firstRow="1" w:lastRow="0" w:firstColumn="0" w:lastColumn="0" w:oddVBand="0" w:evenVBand="0" w:oddHBand="0" w:evenHBand="0" w:firstRowFirstColumn="0" w:firstRowLastColumn="0" w:lastRowFirstColumn="0" w:lastRowLastColumn="0"/>
            </w:pPr>
            <w:r>
              <w:t>Exclusion criteria</w:t>
            </w:r>
          </w:p>
        </w:tc>
      </w:tr>
      <w:tr w:rsidR="00F1350A" w14:paraId="7D10FFFA" w14:textId="1067040B" w:rsidTr="00C45A17">
        <w:tc>
          <w:tcPr>
            <w:cnfStyle w:val="001000000000" w:firstRow="0" w:lastRow="0" w:firstColumn="1" w:lastColumn="0" w:oddVBand="0" w:evenVBand="0" w:oddHBand="0" w:evenHBand="0" w:firstRowFirstColumn="0" w:firstRowLastColumn="0" w:lastRowFirstColumn="0" w:lastRowLastColumn="0"/>
            <w:tcW w:w="2122" w:type="dxa"/>
          </w:tcPr>
          <w:p w14:paraId="695012C4" w14:textId="77777777" w:rsidR="00F1350A" w:rsidRPr="00A83DCF" w:rsidRDefault="00F1350A" w:rsidP="004F6859">
            <w:pPr>
              <w:jc w:val="both"/>
              <w:rPr>
                <w:b w:val="0"/>
              </w:rPr>
            </w:pPr>
            <w:r w:rsidRPr="00A83DCF">
              <w:t>Population</w:t>
            </w:r>
          </w:p>
        </w:tc>
        <w:tc>
          <w:tcPr>
            <w:tcW w:w="2693" w:type="dxa"/>
          </w:tcPr>
          <w:p w14:paraId="3FECDE17" w14:textId="77777777" w:rsidR="00F1350A" w:rsidRDefault="00F1350A" w:rsidP="004F6859">
            <w:pPr>
              <w:jc w:val="both"/>
              <w:cnfStyle w:val="000000000000" w:firstRow="0" w:lastRow="0" w:firstColumn="0" w:lastColumn="0" w:oddVBand="0" w:evenVBand="0" w:oddHBand="0" w:evenHBand="0" w:firstRowFirstColumn="0" w:firstRowLastColumn="0" w:lastRowFirstColumn="0" w:lastRowLastColumn="0"/>
            </w:pPr>
            <w:r>
              <w:t>Species of fish, amphibians and birds</w:t>
            </w:r>
          </w:p>
        </w:tc>
        <w:tc>
          <w:tcPr>
            <w:tcW w:w="2268" w:type="dxa"/>
          </w:tcPr>
          <w:p w14:paraId="3E246B0E" w14:textId="580E850A" w:rsidR="00F1350A" w:rsidRDefault="00951D2A" w:rsidP="004F6859">
            <w:pPr>
              <w:jc w:val="both"/>
              <w:cnfStyle w:val="000000000000" w:firstRow="0" w:lastRow="0" w:firstColumn="0" w:lastColumn="0" w:oddVBand="0" w:evenVBand="0" w:oddHBand="0" w:evenHBand="0" w:firstRowFirstColumn="0" w:firstRowLastColumn="0" w:lastRowFirstColumn="0" w:lastRowLastColumn="0"/>
            </w:pPr>
            <w:r>
              <w:t>Both wild and standard test species of fish, birds or amphibians</w:t>
            </w:r>
          </w:p>
        </w:tc>
        <w:tc>
          <w:tcPr>
            <w:tcW w:w="2268" w:type="dxa"/>
          </w:tcPr>
          <w:p w14:paraId="5B12C71A" w14:textId="3596291D" w:rsidR="00F1350A" w:rsidRDefault="00951D2A" w:rsidP="004F6859">
            <w:pPr>
              <w:jc w:val="both"/>
              <w:cnfStyle w:val="000000000000" w:firstRow="0" w:lastRow="0" w:firstColumn="0" w:lastColumn="0" w:oddVBand="0" w:evenVBand="0" w:oddHBand="0" w:evenHBand="0" w:firstRowFirstColumn="0" w:firstRowLastColumn="0" w:lastRowFirstColumn="0" w:lastRowLastColumn="0"/>
            </w:pPr>
            <w:r>
              <w:t>All other species that are not classified as fish, birds or amphibians</w:t>
            </w:r>
          </w:p>
        </w:tc>
      </w:tr>
      <w:tr w:rsidR="00F1350A" w14:paraId="5ACE6BA0" w14:textId="7A6D179E" w:rsidTr="00C45A17">
        <w:tc>
          <w:tcPr>
            <w:cnfStyle w:val="001000000000" w:firstRow="0" w:lastRow="0" w:firstColumn="1" w:lastColumn="0" w:oddVBand="0" w:evenVBand="0" w:oddHBand="0" w:evenHBand="0" w:firstRowFirstColumn="0" w:firstRowLastColumn="0" w:lastRowFirstColumn="0" w:lastRowLastColumn="0"/>
            <w:tcW w:w="2122" w:type="dxa"/>
          </w:tcPr>
          <w:p w14:paraId="1039220B" w14:textId="77777777" w:rsidR="00F1350A" w:rsidRPr="00A83DCF" w:rsidRDefault="00F1350A" w:rsidP="004F6859">
            <w:pPr>
              <w:jc w:val="both"/>
              <w:rPr>
                <w:b w:val="0"/>
              </w:rPr>
            </w:pPr>
            <w:r w:rsidRPr="00A83DCF">
              <w:t>Index test</w:t>
            </w:r>
          </w:p>
        </w:tc>
        <w:tc>
          <w:tcPr>
            <w:tcW w:w="2693" w:type="dxa"/>
          </w:tcPr>
          <w:p w14:paraId="7ADBBC29" w14:textId="336DE0A4" w:rsidR="00F1350A" w:rsidRDefault="00F1350A" w:rsidP="004F6859">
            <w:pPr>
              <w:jc w:val="both"/>
              <w:cnfStyle w:val="000000000000" w:firstRow="0" w:lastRow="0" w:firstColumn="0" w:lastColumn="0" w:oddVBand="0" w:evenVBand="0" w:oddHBand="0" w:evenHBand="0" w:firstRowFirstColumn="0" w:firstRowLastColumn="0" w:lastRowFirstColumn="0" w:lastRowLastColumn="0"/>
            </w:pPr>
            <w:r>
              <w:t>Invasive or non-invasive hormonal measurement methods (related to EATS pathways)</w:t>
            </w:r>
          </w:p>
        </w:tc>
        <w:tc>
          <w:tcPr>
            <w:tcW w:w="2268" w:type="dxa"/>
          </w:tcPr>
          <w:p w14:paraId="20DF342B" w14:textId="14439F40" w:rsidR="00F1350A" w:rsidRDefault="00951D2A" w:rsidP="004F6859">
            <w:pPr>
              <w:jc w:val="both"/>
              <w:cnfStyle w:val="000000000000" w:firstRow="0" w:lastRow="0" w:firstColumn="0" w:lastColumn="0" w:oddVBand="0" w:evenVBand="0" w:oddHBand="0" w:evenHBand="0" w:firstRowFirstColumn="0" w:firstRowLastColumn="0" w:lastRowFirstColumn="0" w:lastRowLastColumn="0"/>
            </w:pPr>
            <w:r>
              <w:t>All sampling matrices including faeces or tankwater.</w:t>
            </w:r>
          </w:p>
          <w:p w14:paraId="30825A97" w14:textId="77777777" w:rsidR="00951D2A" w:rsidRDefault="00951D2A" w:rsidP="004F6859">
            <w:pPr>
              <w:jc w:val="both"/>
              <w:cnfStyle w:val="000000000000" w:firstRow="0" w:lastRow="0" w:firstColumn="0" w:lastColumn="0" w:oddVBand="0" w:evenVBand="0" w:oddHBand="0" w:evenHBand="0" w:firstRowFirstColumn="0" w:firstRowLastColumn="0" w:lastRowFirstColumn="0" w:lastRowLastColumn="0"/>
            </w:pPr>
          </w:p>
          <w:p w14:paraId="2897747D" w14:textId="5B437757" w:rsidR="00951D2A" w:rsidRDefault="00951D2A" w:rsidP="004F6859">
            <w:pPr>
              <w:jc w:val="both"/>
              <w:cnfStyle w:val="000000000000" w:firstRow="0" w:lastRow="0" w:firstColumn="0" w:lastColumn="0" w:oddVBand="0" w:evenVBand="0" w:oddHBand="0" w:evenHBand="0" w:firstRowFirstColumn="0" w:firstRowLastColumn="0" w:lastRowFirstColumn="0" w:lastRowLastColumn="0"/>
            </w:pPr>
            <w:r>
              <w:t>Hormones related to the EATS pathways in fish, birds and amphibians</w:t>
            </w:r>
            <w:r w:rsidR="00040531">
              <w:t>. Estrogens, androgens and thyroid hormones are the main target of these searches but retrieved studies investigating</w:t>
            </w:r>
            <w:r>
              <w:t xml:space="preserve"> CRH</w:t>
            </w:r>
            <w:r w:rsidR="00040531">
              <w:t>,</w:t>
            </w:r>
            <w:r>
              <w:t xml:space="preserve"> cholesterol</w:t>
            </w:r>
            <w:r w:rsidR="00040531">
              <w:t>, FSH and/or LH will not be excluded.</w:t>
            </w:r>
          </w:p>
        </w:tc>
        <w:tc>
          <w:tcPr>
            <w:tcW w:w="2268" w:type="dxa"/>
          </w:tcPr>
          <w:p w14:paraId="49F128FD" w14:textId="77777777" w:rsidR="00F1350A" w:rsidRDefault="00951D2A" w:rsidP="004F6859">
            <w:pPr>
              <w:jc w:val="both"/>
              <w:cnfStyle w:val="000000000000" w:firstRow="0" w:lastRow="0" w:firstColumn="0" w:lastColumn="0" w:oddVBand="0" w:evenVBand="0" w:oddHBand="0" w:evenHBand="0" w:firstRowFirstColumn="0" w:firstRowLastColumn="0" w:lastRowFirstColumn="0" w:lastRowLastColumn="0"/>
            </w:pPr>
            <w:r>
              <w:t>Hormones not related to EATS pathways in fish, birds and amphibians, e.g. adrenaline and noradrenaline</w:t>
            </w:r>
            <w:r w:rsidR="00AE3F92">
              <w:t>, stanniocalcin.</w:t>
            </w:r>
          </w:p>
          <w:p w14:paraId="7963B447" w14:textId="77777777" w:rsidR="00AE3F92" w:rsidRDefault="00AE3F92" w:rsidP="004F6859">
            <w:pPr>
              <w:jc w:val="both"/>
              <w:cnfStyle w:val="000000000000" w:firstRow="0" w:lastRow="0" w:firstColumn="0" w:lastColumn="0" w:oddVBand="0" w:evenVBand="0" w:oddHBand="0" w:evenHBand="0" w:firstRowFirstColumn="0" w:firstRowLastColumn="0" w:lastRowFirstColumn="0" w:lastRowLastColumn="0"/>
            </w:pPr>
          </w:p>
          <w:p w14:paraId="46300D2C" w14:textId="1053BA91" w:rsidR="00AE3F92" w:rsidRDefault="00AE3F92" w:rsidP="004F6859">
            <w:pPr>
              <w:jc w:val="both"/>
              <w:cnfStyle w:val="000000000000" w:firstRow="0" w:lastRow="0" w:firstColumn="0" w:lastColumn="0" w:oddVBand="0" w:evenVBand="0" w:oddHBand="0" w:evenHBand="0" w:firstRowFirstColumn="0" w:firstRowLastColumn="0" w:lastRowFirstColumn="0" w:lastRowLastColumn="0"/>
            </w:pPr>
            <w:r>
              <w:t>Hormone dependent biomarkers such as vitellogenin.</w:t>
            </w:r>
          </w:p>
        </w:tc>
      </w:tr>
      <w:tr w:rsidR="00F1350A" w14:paraId="33F5EE12" w14:textId="3C7625BB" w:rsidTr="00C45A17">
        <w:tc>
          <w:tcPr>
            <w:cnfStyle w:val="001000000000" w:firstRow="0" w:lastRow="0" w:firstColumn="1" w:lastColumn="0" w:oddVBand="0" w:evenVBand="0" w:oddHBand="0" w:evenHBand="0" w:firstRowFirstColumn="0" w:firstRowLastColumn="0" w:lastRowFirstColumn="0" w:lastRowLastColumn="0"/>
            <w:tcW w:w="2122" w:type="dxa"/>
          </w:tcPr>
          <w:p w14:paraId="3C03C758" w14:textId="77777777" w:rsidR="00F1350A" w:rsidRPr="00A83DCF" w:rsidRDefault="00F1350A" w:rsidP="004F6859">
            <w:pPr>
              <w:jc w:val="both"/>
              <w:rPr>
                <w:b w:val="0"/>
              </w:rPr>
            </w:pPr>
            <w:r w:rsidRPr="00A83DCF">
              <w:t>Target conditions</w:t>
            </w:r>
          </w:p>
        </w:tc>
        <w:tc>
          <w:tcPr>
            <w:tcW w:w="2693" w:type="dxa"/>
          </w:tcPr>
          <w:p w14:paraId="78035C39" w14:textId="77777777" w:rsidR="00F1350A" w:rsidRDefault="00F1350A" w:rsidP="004F6859">
            <w:pPr>
              <w:jc w:val="both"/>
              <w:cnfStyle w:val="000000000000" w:firstRow="0" w:lastRow="0" w:firstColumn="0" w:lastColumn="0" w:oddVBand="0" w:evenVBand="0" w:oddHBand="0" w:evenHBand="0" w:firstRowFirstColumn="0" w:firstRowLastColumn="0" w:lastRowFirstColumn="0" w:lastRowLastColumn="0"/>
            </w:pPr>
            <w:r>
              <w:t>Detection of or supporting evidence for an endocrine disruption mode-of-action or adverse effect.</w:t>
            </w:r>
          </w:p>
        </w:tc>
        <w:tc>
          <w:tcPr>
            <w:tcW w:w="2268" w:type="dxa"/>
          </w:tcPr>
          <w:p w14:paraId="5F899173" w14:textId="2A704127" w:rsidR="00F1350A" w:rsidRDefault="00AE3F92" w:rsidP="004F6859">
            <w:pPr>
              <w:jc w:val="both"/>
              <w:cnfStyle w:val="000000000000" w:firstRow="0" w:lastRow="0" w:firstColumn="0" w:lastColumn="0" w:oddVBand="0" w:evenVBand="0" w:oddHBand="0" w:evenHBand="0" w:firstRowFirstColumn="0" w:firstRowLastColumn="0" w:lastRowFirstColumn="0" w:lastRowLastColumn="0"/>
            </w:pPr>
            <w:r>
              <w:t>Studies addressing methodological aspects of hormone measurements, e.g. method development, sample preparation and storage, method validation</w:t>
            </w:r>
          </w:p>
        </w:tc>
        <w:tc>
          <w:tcPr>
            <w:tcW w:w="2268" w:type="dxa"/>
          </w:tcPr>
          <w:p w14:paraId="1B923B1F" w14:textId="3A0A65FB" w:rsidR="00F1350A" w:rsidRDefault="00AE3F92" w:rsidP="004F6859">
            <w:pPr>
              <w:jc w:val="both"/>
              <w:cnfStyle w:val="000000000000" w:firstRow="0" w:lastRow="0" w:firstColumn="0" w:lastColumn="0" w:oddVBand="0" w:evenVBand="0" w:oddHBand="0" w:evenHBand="0" w:firstRowFirstColumn="0" w:firstRowLastColumn="0" w:lastRowFirstColumn="0" w:lastRowLastColumn="0"/>
            </w:pPr>
            <w:r>
              <w:t>Studies where pre-existing method(s) has been applied</w:t>
            </w:r>
            <w:r w:rsidR="00A027B4">
              <w:t xml:space="preserve"> to measure hormones</w:t>
            </w:r>
          </w:p>
        </w:tc>
      </w:tr>
    </w:tbl>
    <w:p w14:paraId="20547FA9" w14:textId="3BF72A59" w:rsidR="00F1350A" w:rsidRDefault="00F1350A" w:rsidP="0098276B">
      <w:pPr>
        <w:jc w:val="both"/>
      </w:pPr>
    </w:p>
    <w:p w14:paraId="0416BA6C" w14:textId="77777777" w:rsidR="0031075B" w:rsidRDefault="009E5153" w:rsidP="009E5153">
      <w:pPr>
        <w:pStyle w:val="Heading2"/>
      </w:pPr>
      <w:r>
        <w:t>Information sources</w:t>
      </w:r>
    </w:p>
    <w:p w14:paraId="16C03D96" w14:textId="096B2D01" w:rsidR="001D3891" w:rsidRPr="00576E92" w:rsidRDefault="001D3891" w:rsidP="001D3891">
      <w:pPr>
        <w:spacing w:after="0"/>
        <w:jc w:val="both"/>
      </w:pPr>
      <w:r>
        <w:t>S</w:t>
      </w:r>
      <w:r w:rsidRPr="00576E92">
        <w:t xml:space="preserve">earches for peer-reviewed articles will be conducted in the following bibliographic databases: </w:t>
      </w:r>
    </w:p>
    <w:p w14:paraId="6807710A" w14:textId="77777777" w:rsidR="001D3891" w:rsidRPr="00576E92" w:rsidRDefault="001D3891" w:rsidP="001D3891">
      <w:pPr>
        <w:pStyle w:val="ListParagraph"/>
        <w:numPr>
          <w:ilvl w:val="0"/>
          <w:numId w:val="4"/>
        </w:numPr>
        <w:spacing w:after="0"/>
      </w:pPr>
      <w:r w:rsidRPr="00576E92">
        <w:t>PubMed</w:t>
      </w:r>
    </w:p>
    <w:p w14:paraId="00888CC4" w14:textId="77777777" w:rsidR="001D3891" w:rsidRPr="00576E92" w:rsidRDefault="001D3891" w:rsidP="001D3891">
      <w:pPr>
        <w:pStyle w:val="ListParagraph"/>
        <w:numPr>
          <w:ilvl w:val="0"/>
          <w:numId w:val="4"/>
        </w:numPr>
        <w:spacing w:after="0"/>
      </w:pPr>
      <w:r w:rsidRPr="00576E92">
        <w:t>Web of Science Core Collection</w:t>
      </w:r>
    </w:p>
    <w:p w14:paraId="118CDF8C" w14:textId="77777777" w:rsidR="001D3891" w:rsidRPr="00576E92" w:rsidRDefault="001D3891" w:rsidP="001D3891">
      <w:pPr>
        <w:pStyle w:val="ListParagraph"/>
        <w:numPr>
          <w:ilvl w:val="0"/>
          <w:numId w:val="4"/>
        </w:numPr>
        <w:spacing w:after="0"/>
      </w:pPr>
      <w:r w:rsidRPr="00576E92">
        <w:t>MEDLINE</w:t>
      </w:r>
    </w:p>
    <w:p w14:paraId="6468B502" w14:textId="77777777" w:rsidR="001D3891" w:rsidRPr="00576E92" w:rsidRDefault="001D3891" w:rsidP="001D3891">
      <w:pPr>
        <w:pStyle w:val="ListParagraph"/>
        <w:numPr>
          <w:ilvl w:val="0"/>
          <w:numId w:val="4"/>
        </w:numPr>
        <w:spacing w:after="0"/>
      </w:pPr>
      <w:r w:rsidRPr="00576E92">
        <w:t>Scopus</w:t>
      </w:r>
    </w:p>
    <w:p w14:paraId="1FF4E715" w14:textId="52B83442" w:rsidR="001D3891" w:rsidRDefault="001D3891" w:rsidP="001D3891">
      <w:pPr>
        <w:pStyle w:val="ListParagraph"/>
        <w:numPr>
          <w:ilvl w:val="0"/>
          <w:numId w:val="4"/>
        </w:numPr>
        <w:spacing w:after="0"/>
      </w:pPr>
      <w:r w:rsidRPr="00576E92">
        <w:t xml:space="preserve">Full text databases such </w:t>
      </w:r>
      <w:r w:rsidR="00E11ADD">
        <w:t>as</w:t>
      </w:r>
      <w:r w:rsidRPr="00576E92">
        <w:t xml:space="preserve"> ScienceDirect</w:t>
      </w:r>
    </w:p>
    <w:p w14:paraId="7FB9AF26" w14:textId="77777777" w:rsidR="00FF0E08" w:rsidRPr="00576E92" w:rsidRDefault="00FF0E08" w:rsidP="00FF0E08">
      <w:pPr>
        <w:spacing w:after="0"/>
      </w:pPr>
    </w:p>
    <w:p w14:paraId="1151C83B" w14:textId="77777777" w:rsidR="001D3891" w:rsidRPr="00576E92" w:rsidRDefault="001D3891" w:rsidP="001D3891">
      <w:pPr>
        <w:jc w:val="both"/>
      </w:pPr>
      <w:r w:rsidRPr="00576E92">
        <w:t xml:space="preserve">Further, in order to identify ongoing research, we will examine conference papers via resources like the British Library service </w:t>
      </w:r>
      <w:hyperlink r:id="rId19">
        <w:r w:rsidRPr="00576E92">
          <w:rPr>
            <w:rStyle w:val="Hyperlink"/>
            <w:b/>
            <w:bCs/>
            <w:color w:val="auto"/>
          </w:rPr>
          <w:t>Zetoc</w:t>
        </w:r>
      </w:hyperlink>
      <w:r w:rsidRPr="00576E92">
        <w:t xml:space="preserve"> (http://zetoc.jisc.ac.uk/). </w:t>
      </w:r>
    </w:p>
    <w:p w14:paraId="097B2A5F" w14:textId="4FDE0406" w:rsidR="001D3891" w:rsidRDefault="001D3891" w:rsidP="001D3891">
      <w:pPr>
        <w:jc w:val="both"/>
      </w:pPr>
      <w:bookmarkStart w:id="4" w:name="_GoBack"/>
      <w:r w:rsidRPr="00576E92">
        <w:t xml:space="preserve">To identify grey literature </w:t>
      </w:r>
      <w:bookmarkEnd w:id="4"/>
      <w:r w:rsidRPr="00576E92">
        <w:t xml:space="preserve">not listed in databases, </w:t>
      </w:r>
      <w:r>
        <w:t xml:space="preserve">manual </w:t>
      </w:r>
      <w:r w:rsidRPr="00576E92">
        <w:t xml:space="preserve">searches will be carried out using topic focused search engines such as </w:t>
      </w:r>
      <w:r w:rsidRPr="00576E92">
        <w:rPr>
          <w:b/>
          <w:bCs/>
        </w:rPr>
        <w:t>Mednar</w:t>
      </w:r>
      <w:r w:rsidRPr="00576E92">
        <w:t xml:space="preserve"> (</w:t>
      </w:r>
      <w:hyperlink r:id="rId20">
        <w:r w:rsidRPr="00576E92">
          <w:rPr>
            <w:rStyle w:val="Hyperlink"/>
            <w:color w:val="auto"/>
          </w:rPr>
          <w:t>http://mednar.com/mednar/desktop/en/search.html</w:t>
        </w:r>
      </w:hyperlink>
      <w:r w:rsidRPr="00576E92">
        <w:t xml:space="preserve">) and </w:t>
      </w:r>
      <w:r w:rsidRPr="00576E92">
        <w:rPr>
          <w:b/>
          <w:bCs/>
        </w:rPr>
        <w:t>Environar</w:t>
      </w:r>
      <w:r w:rsidRPr="00576E92">
        <w:t xml:space="preserve"> (</w:t>
      </w:r>
      <w:hyperlink r:id="rId21">
        <w:r w:rsidRPr="00576E92">
          <w:rPr>
            <w:rStyle w:val="Hyperlink"/>
            <w:color w:val="auto"/>
          </w:rPr>
          <w:t>https://environar.com/environar/desktop/en/search.html</w:t>
        </w:r>
      </w:hyperlink>
      <w:r w:rsidRPr="00576E92">
        <w:t xml:space="preserve">). Additional searches will be carried out in open access bibliographical databases such as </w:t>
      </w:r>
      <w:hyperlink r:id="rId22">
        <w:r w:rsidRPr="00576E92">
          <w:rPr>
            <w:rStyle w:val="Hyperlink"/>
            <w:b/>
            <w:bCs/>
            <w:color w:val="auto"/>
          </w:rPr>
          <w:t>OpenGrey</w:t>
        </w:r>
      </w:hyperlink>
      <w:r w:rsidRPr="00576E92">
        <w:t xml:space="preserve"> (</w:t>
      </w:r>
      <w:hyperlink r:id="rId23">
        <w:r w:rsidRPr="00576E92">
          <w:rPr>
            <w:rStyle w:val="Hyperlink"/>
            <w:color w:val="auto"/>
          </w:rPr>
          <w:t>http://www.opengrey.eu/</w:t>
        </w:r>
      </w:hyperlink>
      <w:r w:rsidRPr="00576E92">
        <w:t xml:space="preserve">) </w:t>
      </w:r>
      <w:r w:rsidRPr="00576E92">
        <w:lastRenderedPageBreak/>
        <w:t>which searches grey literature across Europe</w:t>
      </w:r>
      <w:r w:rsidR="00E11ADD">
        <w:t xml:space="preserve"> by interrogating</w:t>
      </w:r>
      <w:r w:rsidRPr="00576E92">
        <w:t xml:space="preserve"> open access items in insti</w:t>
      </w:r>
      <w:r>
        <w:t>tutional repositories.</w:t>
      </w:r>
    </w:p>
    <w:p w14:paraId="5515350F" w14:textId="4B9CD8B3" w:rsidR="001D3891" w:rsidRPr="00576E92" w:rsidRDefault="001D3891" w:rsidP="001D3891">
      <w:pPr>
        <w:jc w:val="both"/>
      </w:pPr>
      <w:r>
        <w:t xml:space="preserve">Manual searches of the bibliography and citations of </w:t>
      </w:r>
      <w:r w:rsidR="00E11ADD">
        <w:t>eligible</w:t>
      </w:r>
      <w:r>
        <w:t xml:space="preserve"> studies will be carried out.</w:t>
      </w:r>
    </w:p>
    <w:p w14:paraId="2564B5DB" w14:textId="61D85290" w:rsidR="001D3891" w:rsidRDefault="001D3891" w:rsidP="001D3891">
      <w:pPr>
        <w:jc w:val="both"/>
      </w:pPr>
      <w:r w:rsidRPr="00BB6D21">
        <w:t xml:space="preserve">Finally, this can be complemented by targeted </w:t>
      </w:r>
      <w:r>
        <w:t xml:space="preserve">manual </w:t>
      </w:r>
      <w:r w:rsidRPr="00BB6D21">
        <w:t>searches of open repositories on the website of European institutions such as EChA, EFSA, JRC, American institutions such as N</w:t>
      </w:r>
      <w:r w:rsidR="00E11ADD">
        <w:t xml:space="preserve">ational </w:t>
      </w:r>
      <w:r w:rsidRPr="00BB6D21">
        <w:t>I</w:t>
      </w:r>
      <w:r w:rsidR="00E11ADD">
        <w:t xml:space="preserve">nstitute of </w:t>
      </w:r>
      <w:r w:rsidRPr="00BB6D21">
        <w:t>E</w:t>
      </w:r>
      <w:r w:rsidR="00E11ADD">
        <w:t xml:space="preserve">nvironmental </w:t>
      </w:r>
      <w:r w:rsidRPr="00BB6D21">
        <w:t>H</w:t>
      </w:r>
      <w:r w:rsidR="00E11ADD">
        <w:t xml:space="preserve">ealth </w:t>
      </w:r>
      <w:r w:rsidRPr="00BB6D21">
        <w:t>S</w:t>
      </w:r>
      <w:r w:rsidR="00E11ADD">
        <w:t>ciences (NIEHS)</w:t>
      </w:r>
      <w:r w:rsidRPr="00BB6D21">
        <w:t>, N</w:t>
      </w:r>
      <w:r w:rsidR="00E11ADD">
        <w:t xml:space="preserve">ational </w:t>
      </w:r>
      <w:r w:rsidRPr="00BB6D21">
        <w:t>I</w:t>
      </w:r>
      <w:r w:rsidR="00E11ADD">
        <w:t xml:space="preserve">nstitute of </w:t>
      </w:r>
      <w:r w:rsidRPr="00BB6D21">
        <w:t>H</w:t>
      </w:r>
      <w:r w:rsidR="00E11ADD">
        <w:t>ealth (NIH)</w:t>
      </w:r>
      <w:r w:rsidRPr="00BB6D21">
        <w:t xml:space="preserve"> or the F</w:t>
      </w:r>
      <w:r w:rsidR="00E11ADD">
        <w:t xml:space="preserve">ood and Drug </w:t>
      </w:r>
      <w:r w:rsidRPr="00BB6D21">
        <w:t>A</w:t>
      </w:r>
      <w:r w:rsidR="00E11ADD">
        <w:t>dministration (FDA)</w:t>
      </w:r>
      <w:r w:rsidRPr="00BB6D21">
        <w:t xml:space="preserve"> and</w:t>
      </w:r>
      <w:r>
        <w:t>,</w:t>
      </w:r>
      <w:r w:rsidRPr="00BB6D21">
        <w:t xml:space="preserve"> </w:t>
      </w:r>
      <w:r w:rsidR="00E11ADD">
        <w:t xml:space="preserve">European </w:t>
      </w:r>
      <w:r w:rsidRPr="00BB6D21">
        <w:t xml:space="preserve">national institutions including </w:t>
      </w:r>
      <w:r w:rsidR="00E11ADD" w:rsidRPr="00E11ADD">
        <w:t>Bundesinstitut für Risikobewertung (BfR)</w:t>
      </w:r>
      <w:r w:rsidRPr="00BB6D21">
        <w:t xml:space="preserve">, </w:t>
      </w:r>
      <w:r w:rsidR="00E11ADD">
        <w:t>Swedish Chemical Agency (</w:t>
      </w:r>
      <w:r w:rsidRPr="00BB6D21">
        <w:t>KEMI</w:t>
      </w:r>
      <w:r w:rsidR="00E11ADD">
        <w:t>)</w:t>
      </w:r>
      <w:r w:rsidRPr="00BB6D21">
        <w:t xml:space="preserve">, </w:t>
      </w:r>
      <w:r w:rsidR="00E11ADD">
        <w:t xml:space="preserve">the Dutch </w:t>
      </w:r>
      <w:r w:rsidR="00E11ADD" w:rsidRPr="00E11ADD">
        <w:t xml:space="preserve">National Institute for Public Health and the Environment </w:t>
      </w:r>
      <w:r w:rsidR="00E11ADD">
        <w:t>(</w:t>
      </w:r>
      <w:r w:rsidRPr="00BB6D21">
        <w:t>RIVM</w:t>
      </w:r>
      <w:r w:rsidR="00E11ADD">
        <w:t>)</w:t>
      </w:r>
      <w:r w:rsidRPr="00BB6D21">
        <w:t>, Umwelt BundesAmt</w:t>
      </w:r>
      <w:r w:rsidR="00E11ADD">
        <w:t xml:space="preserve"> (UBA)</w:t>
      </w:r>
      <w:r w:rsidRPr="00BB6D21">
        <w:t xml:space="preserve">, </w:t>
      </w:r>
      <w:r w:rsidR="00E11ADD">
        <w:t>t</w:t>
      </w:r>
      <w:r w:rsidR="00E11ADD" w:rsidRPr="00E11ADD">
        <w:t>he French National Institute for Industrial Environment and Risks (Ineris)</w:t>
      </w:r>
      <w:r w:rsidRPr="00BB6D21">
        <w:t xml:space="preserve">, </w:t>
      </w:r>
      <w:r w:rsidR="00E11ADD">
        <w:t xml:space="preserve">the </w:t>
      </w:r>
      <w:r w:rsidR="00E11ADD" w:rsidRPr="00E11ADD">
        <w:t xml:space="preserve">French Agency for Food, Environmental and Occupational Health &amp; Safety </w:t>
      </w:r>
      <w:r w:rsidR="005D6F88">
        <w:t xml:space="preserve">(ANSES) </w:t>
      </w:r>
      <w:r w:rsidRPr="00BB6D21">
        <w:t xml:space="preserve">as well as those of interest groups such </w:t>
      </w:r>
      <w:r w:rsidR="005D6F88">
        <w:t xml:space="preserve">as </w:t>
      </w:r>
      <w:r w:rsidRPr="00BB6D21">
        <w:t xml:space="preserve">the industry funded </w:t>
      </w:r>
      <w:r w:rsidR="005D6F88" w:rsidRPr="005D6F88">
        <w:t xml:space="preserve">European Centre for Ecotoxicology and Toxicology of Chemicals (ECETOC) </w:t>
      </w:r>
      <w:r w:rsidRPr="00BB6D21">
        <w:t xml:space="preserve">or </w:t>
      </w:r>
      <w:r w:rsidR="005D6F88" w:rsidRPr="005D6F88">
        <w:t xml:space="preserve">European Chemical Industry Council </w:t>
      </w:r>
      <w:r w:rsidR="005D6F88">
        <w:t>(</w:t>
      </w:r>
      <w:r w:rsidRPr="00BB6D21">
        <w:t>CEFIC</w:t>
      </w:r>
      <w:r w:rsidR="005D6F88">
        <w:t>)</w:t>
      </w:r>
      <w:r w:rsidRPr="00BB6D21">
        <w:t xml:space="preserve">. </w:t>
      </w:r>
    </w:p>
    <w:p w14:paraId="0207BF65" w14:textId="2A30B5BF" w:rsidR="001D3891" w:rsidRPr="00B32967" w:rsidRDefault="001D3891" w:rsidP="001D3891">
      <w:r w:rsidRPr="00B32967">
        <w:t>Language capabilities within the project team include German</w:t>
      </w:r>
      <w:r w:rsidR="005D6F88">
        <w:t>,</w:t>
      </w:r>
      <w:r w:rsidRPr="00B32967">
        <w:t xml:space="preserve"> </w:t>
      </w:r>
      <w:r w:rsidR="005D6F88">
        <w:t xml:space="preserve">Portuguese, Italian </w:t>
      </w:r>
      <w:r w:rsidRPr="00B32967">
        <w:t>and French in addition to English.</w:t>
      </w:r>
      <w:r>
        <w:t xml:space="preserve"> </w:t>
      </w:r>
      <w:r w:rsidR="00B029FE">
        <w:t xml:space="preserve">For studies in languages not covered by the project team and for which no English version can be located, the full text will be interrogated through the use of online tools such as Google Translate. </w:t>
      </w:r>
      <w:r>
        <w:t>It is not proposed to limit the timespan of literature searches.</w:t>
      </w:r>
    </w:p>
    <w:p w14:paraId="3B612253" w14:textId="77777777" w:rsidR="009E5153" w:rsidRDefault="00E376C9" w:rsidP="00E376C9">
      <w:pPr>
        <w:pStyle w:val="Heading2"/>
      </w:pPr>
      <w:r>
        <w:t>Search strategy</w:t>
      </w:r>
    </w:p>
    <w:p w14:paraId="1911DCC0" w14:textId="147008AE" w:rsidR="001D3891" w:rsidRDefault="001D3891" w:rsidP="001B2974">
      <w:pPr>
        <w:jc w:val="both"/>
      </w:pPr>
      <w:r>
        <w:t>Constructing search strategies for complex review questions can be challenging and has led to the use of multi-stranded strategies instead of a single combination of key elements, e.g. such as PI or IT. A</w:t>
      </w:r>
      <w:r w:rsidR="00CB359D">
        <w:t>n initial series</w:t>
      </w:r>
      <w:r>
        <w:t xml:space="preserve"> of </w:t>
      </w:r>
      <w:r w:rsidR="001B2974">
        <w:t>four groups of search terms targeting either species, sampling matrix, hormones or method</w:t>
      </w:r>
      <w:r>
        <w:t xml:space="preserve"> element</w:t>
      </w:r>
      <w:r w:rsidR="001B2974">
        <w:t>s</w:t>
      </w:r>
      <w:r>
        <w:t xml:space="preserve"> </w:t>
      </w:r>
      <w:r w:rsidR="00CB359D">
        <w:t>has been</w:t>
      </w:r>
      <w:r>
        <w:t xml:space="preserve"> developed to be run sequentially and then combined using the Boolean operators ‘AND’ and ‘OR’</w:t>
      </w:r>
      <w:r>
        <w:rPr>
          <w:rStyle w:val="FootnoteReference"/>
        </w:rPr>
        <w:footnoteReference w:id="4"/>
      </w:r>
      <w:r>
        <w:t xml:space="preserve">. </w:t>
      </w:r>
      <w:r w:rsidR="001B2974">
        <w:t xml:space="preserve">The result of pilot searches listing a total of 93 search terms and their combination </w:t>
      </w:r>
      <w:r w:rsidR="00A10C05">
        <w:t xml:space="preserve">in the three literature databases Web of Science, Scopus and Pubmed </w:t>
      </w:r>
      <w:r w:rsidR="001B2974">
        <w:t>can be found in A</w:t>
      </w:r>
      <w:r w:rsidR="00806D5E">
        <w:t>ppendix</w:t>
      </w:r>
      <w:r w:rsidR="001B2974">
        <w:t xml:space="preserve"> A.</w:t>
      </w:r>
    </w:p>
    <w:p w14:paraId="7A4109F8" w14:textId="41C51830" w:rsidR="001D3891" w:rsidRPr="00C84EF1" w:rsidRDefault="001B2974" w:rsidP="001D3891">
      <w:pPr>
        <w:jc w:val="both"/>
      </w:pPr>
      <w:r>
        <w:t xml:space="preserve">The search strategy will be </w:t>
      </w:r>
      <w:r w:rsidR="00A10C05">
        <w:t>revised</w:t>
      </w:r>
      <w:r>
        <w:t xml:space="preserve"> after review by EFSA and </w:t>
      </w:r>
      <w:r w:rsidR="00A10C05">
        <w:t xml:space="preserve">public invitation for comments. </w:t>
      </w:r>
      <w:r w:rsidR="001D3891">
        <w:t xml:space="preserve">The quality of the </w:t>
      </w:r>
      <w:r w:rsidR="00A10C05">
        <w:t xml:space="preserve">revised </w:t>
      </w:r>
      <w:r w:rsidR="001D3891">
        <w:t xml:space="preserve">literature search strategy will be assessed </w:t>
      </w:r>
      <w:r w:rsidR="00A10C05">
        <w:t xml:space="preserve">by testing for its ability to retrieve pre-identified key papers and by </w:t>
      </w:r>
      <w:r w:rsidR="001D3891">
        <w:t>using the EFSA critical appraisal tool (CAT) for systematic/extensive literature searches</w:t>
      </w:r>
      <w:r w:rsidR="001D3891">
        <w:rPr>
          <w:rStyle w:val="FootnoteReference"/>
          <w:rFonts w:ascii="Tahoma" w:hAnsi="Tahoma" w:cs="Tahoma"/>
          <w:sz w:val="20"/>
          <w:szCs w:val="20"/>
        </w:rPr>
        <w:footnoteReference w:id="5"/>
      </w:r>
      <w:r w:rsidR="001D3891">
        <w:t>. The CAT focuses on both the search strategy; and the completeness of the information sources used.</w:t>
      </w:r>
    </w:p>
    <w:p w14:paraId="7268035F" w14:textId="77777777" w:rsidR="00E376C9" w:rsidRDefault="00AD0161" w:rsidP="00AD0161">
      <w:pPr>
        <w:pStyle w:val="Heading2"/>
      </w:pPr>
      <w:r>
        <w:t>Data management</w:t>
      </w:r>
    </w:p>
    <w:p w14:paraId="1B5645DB" w14:textId="548DF216" w:rsidR="00AD0161" w:rsidRDefault="00A26852" w:rsidP="00A26852">
      <w:pPr>
        <w:jc w:val="both"/>
      </w:pPr>
      <w:r>
        <w:t>Literature and all systematic review process</w:t>
      </w:r>
      <w:r w:rsidR="00A10C05">
        <w:t>es</w:t>
      </w:r>
      <w:r>
        <w:t xml:space="preserve"> will be managed and coordinated with the support of the freely available online tool CADIMA established in a close collaboration between the Julius Kühn-Institut and the Collaboration for Environmental Evidence (</w:t>
      </w:r>
      <w:hyperlink r:id="rId24" w:history="1">
        <w:r w:rsidRPr="00457673">
          <w:rPr>
            <w:rStyle w:val="Hyperlink"/>
          </w:rPr>
          <w:t>https://www.cadima.info/index.php/area/evidenceSynthesisDatabase</w:t>
        </w:r>
      </w:hyperlink>
      <w:r>
        <w:t xml:space="preserve">). </w:t>
      </w:r>
    </w:p>
    <w:p w14:paraId="57C29D3A" w14:textId="77777777" w:rsidR="00A26852" w:rsidRDefault="00A26852" w:rsidP="00A26852">
      <w:pPr>
        <w:pStyle w:val="Heading2"/>
      </w:pPr>
      <w:r>
        <w:t>Relevance screening</w:t>
      </w:r>
    </w:p>
    <w:p w14:paraId="60169C86" w14:textId="469661AB" w:rsidR="00A26852" w:rsidRDefault="00A26852" w:rsidP="00A26852">
      <w:pPr>
        <w:jc w:val="both"/>
      </w:pPr>
      <w:r>
        <w:t xml:space="preserve">The list of eligibility criteria will be applied to the merged reference list in duplicate, i.e. </w:t>
      </w:r>
      <w:r w:rsidRPr="00133640">
        <w:t>by two people working independently</w:t>
      </w:r>
      <w:r>
        <w:t xml:space="preserve">, and in two stages. In the first stage, only titles and abstracts will be checked for relevance to the study question. Clearly irrelevant studies will be excluded. The full text of the </w:t>
      </w:r>
      <w:r>
        <w:lastRenderedPageBreak/>
        <w:t>resulting list of i</w:t>
      </w:r>
      <w:r w:rsidRPr="00133640">
        <w:t>ncluded references after title/abstract screening</w:t>
      </w:r>
      <w:r>
        <w:t xml:space="preserve"> will then </w:t>
      </w:r>
      <w:r w:rsidR="00FF0E08">
        <w:t xml:space="preserve">be </w:t>
      </w:r>
      <w:r>
        <w:t>examined for inclusion. The reason for exclusion of studies after assessment of the full text will be recorded.</w:t>
      </w:r>
    </w:p>
    <w:p w14:paraId="5E7FB471" w14:textId="77777777" w:rsidR="00A26852" w:rsidRDefault="00A26852" w:rsidP="00A26852">
      <w:pPr>
        <w:jc w:val="both"/>
      </w:pPr>
      <w:r>
        <w:t>M</w:t>
      </w:r>
      <w:r w:rsidRPr="006D7237">
        <w:t>ultiple reports of the same research (e.g. multiple publications, conference abstracts etc.)</w:t>
      </w:r>
      <w:r>
        <w:t xml:space="preserve"> will not be excluded but</w:t>
      </w:r>
      <w:r w:rsidRPr="006D7237">
        <w:t xml:space="preserve"> instead the methodological information from each of the reports </w:t>
      </w:r>
      <w:r>
        <w:t xml:space="preserve">shall be collated </w:t>
      </w:r>
      <w:r w:rsidRPr="006D7237">
        <w:t xml:space="preserve">as part of the data extraction process </w:t>
      </w:r>
      <w:r>
        <w:t>as one</w:t>
      </w:r>
      <w:r w:rsidRPr="006D7237">
        <w:t xml:space="preserve"> unit of evidence.</w:t>
      </w:r>
    </w:p>
    <w:p w14:paraId="643A453D" w14:textId="51CE4F83" w:rsidR="00A26852" w:rsidRDefault="00A26852" w:rsidP="00A26852">
      <w:pPr>
        <w:jc w:val="both"/>
      </w:pPr>
      <w:r>
        <w:t xml:space="preserve">The CADIMA online tool facilitates the process of consistency check by identifying disagreement between the two evaluators. Disputes will be arbitrated and resolved by a third party, the project manager and most senior </w:t>
      </w:r>
      <w:r w:rsidR="00FF0E08">
        <w:t>eco</w:t>
      </w:r>
      <w:r>
        <w:t xml:space="preserve">toxicology expert. For quality control purposes, the percentage agreement between the two </w:t>
      </w:r>
      <w:r w:rsidR="00D86700">
        <w:t xml:space="preserve">independent </w:t>
      </w:r>
      <w:r>
        <w:t>evaluators and kappa statistic will be reported.</w:t>
      </w:r>
    </w:p>
    <w:p w14:paraId="47ADCC4C" w14:textId="631835EB" w:rsidR="00E10BBC" w:rsidRPr="00B32967" w:rsidRDefault="00E10BBC" w:rsidP="00E10BBC">
      <w:pPr>
        <w:jc w:val="both"/>
      </w:pPr>
      <w:r w:rsidRPr="00B32967">
        <w:t xml:space="preserve">The inter-rater reliability (level of agreement between two or more assessors) of clearly formulated inclusion and exclusion criteria will be also piloted and </w:t>
      </w:r>
      <w:r w:rsidR="00FF0E08">
        <w:t xml:space="preserve">eligibility </w:t>
      </w:r>
      <w:r w:rsidRPr="00B32967">
        <w:t xml:space="preserve">criteria shall be </w:t>
      </w:r>
      <w:r w:rsidR="00FF0E08">
        <w:t xml:space="preserve">clarified and </w:t>
      </w:r>
      <w:r w:rsidRPr="00B32967">
        <w:t>amended accordingly, if necessary.</w:t>
      </w:r>
    </w:p>
    <w:p w14:paraId="2A7F2E78" w14:textId="77777777" w:rsidR="00A26852" w:rsidRPr="00862B21" w:rsidRDefault="00A26852" w:rsidP="00A26852">
      <w:pPr>
        <w:pStyle w:val="Heading2"/>
      </w:pPr>
      <w:r w:rsidRPr="00862B21">
        <w:t>Data extraction</w:t>
      </w:r>
    </w:p>
    <w:p w14:paraId="2C6EFD22" w14:textId="4A18A8C0" w:rsidR="00E10BBC" w:rsidRPr="005505B5" w:rsidRDefault="00E10BBC" w:rsidP="00E10BBC">
      <w:pPr>
        <w:jc w:val="both"/>
      </w:pPr>
      <w:r w:rsidRPr="00862B21">
        <w:t>As this project is concerned with the validation of methods for hormonal measurements, data related to the critical appraisal of methods is central to this exercise and form</w:t>
      </w:r>
      <w:r w:rsidR="001B6703">
        <w:t>s</w:t>
      </w:r>
      <w:r w:rsidRPr="00862B21">
        <w:t xml:space="preserve"> part of the data extraction and coding</w:t>
      </w:r>
      <w:r w:rsidR="001B6703">
        <w:t xml:space="preserve"> itself</w:t>
      </w:r>
      <w:r w:rsidRPr="00862B21">
        <w:t>.</w:t>
      </w:r>
      <w:r w:rsidR="001B6703">
        <w:t xml:space="preserve"> </w:t>
      </w:r>
      <w:r w:rsidR="00381174">
        <w:t>There is therefore an overlap between data extraction and risk-of-bias. Further</w:t>
      </w:r>
      <w:r w:rsidR="00C45A17">
        <w:t>more</w:t>
      </w:r>
      <w:r w:rsidR="00381174">
        <w:t xml:space="preserve">, the latter step is not automatically required in systematic evidence mapping. In this specific instance, it was found that this would duplicate data extraction and risk-of-bias was therefore not included. </w:t>
      </w:r>
      <w:r w:rsidR="001B6703">
        <w:t xml:space="preserve">An initial </w:t>
      </w:r>
      <w:r w:rsidRPr="005505B5">
        <w:t xml:space="preserve">data extraction template </w:t>
      </w:r>
      <w:r w:rsidR="001B6703" w:rsidRPr="005505B5">
        <w:t xml:space="preserve">has been created </w:t>
      </w:r>
      <w:r w:rsidRPr="005505B5">
        <w:t xml:space="preserve">comprising of elements relevant for </w:t>
      </w:r>
      <w:r w:rsidR="001B6703" w:rsidRPr="005505B5">
        <w:t>different types of</w:t>
      </w:r>
      <w:r w:rsidRPr="005505B5">
        <w:t xml:space="preserve"> studies, e.g.:</w:t>
      </w:r>
    </w:p>
    <w:p w14:paraId="38F1D4BF" w14:textId="14894E13" w:rsidR="00E10BBC" w:rsidRPr="005505B5" w:rsidRDefault="00E10BBC" w:rsidP="00E10BBC">
      <w:pPr>
        <w:pStyle w:val="ListParagraph"/>
        <w:numPr>
          <w:ilvl w:val="0"/>
          <w:numId w:val="6"/>
        </w:numPr>
      </w:pPr>
      <w:r w:rsidRPr="005505B5">
        <w:rPr>
          <w:lang w:val="en-GB"/>
        </w:rPr>
        <w:t>meta-data (authors, date, journal name or report number)</w:t>
      </w:r>
    </w:p>
    <w:p w14:paraId="7284DCAE" w14:textId="13DBA74C" w:rsidR="005505B5" w:rsidRPr="005505B5" w:rsidRDefault="005505B5" w:rsidP="00E10BBC">
      <w:pPr>
        <w:pStyle w:val="ListParagraph"/>
        <w:numPr>
          <w:ilvl w:val="0"/>
          <w:numId w:val="6"/>
        </w:numPr>
      </w:pPr>
      <w:r w:rsidRPr="005505B5">
        <w:t>information about the test system, specifically:</w:t>
      </w:r>
    </w:p>
    <w:p w14:paraId="3886032B" w14:textId="5F9D0C7F" w:rsidR="005505B5" w:rsidRPr="005505B5" w:rsidRDefault="005505B5" w:rsidP="005505B5">
      <w:pPr>
        <w:pStyle w:val="ListParagraph"/>
        <w:numPr>
          <w:ilvl w:val="1"/>
          <w:numId w:val="6"/>
        </w:numPr>
      </w:pPr>
      <w:r w:rsidRPr="005505B5">
        <w:t>Species name(s)</w:t>
      </w:r>
    </w:p>
    <w:p w14:paraId="70AF4E51" w14:textId="26D877A0" w:rsidR="005505B5" w:rsidRPr="005505B5" w:rsidRDefault="005505B5" w:rsidP="005505B5">
      <w:pPr>
        <w:pStyle w:val="ListParagraph"/>
        <w:numPr>
          <w:ilvl w:val="1"/>
          <w:numId w:val="6"/>
        </w:numPr>
      </w:pPr>
      <w:r w:rsidRPr="005505B5">
        <w:t>Taxonomic group (fish, bird or amphibian)</w:t>
      </w:r>
    </w:p>
    <w:p w14:paraId="5971EBE5" w14:textId="49AB4CA8" w:rsidR="005505B5" w:rsidRPr="005505B5" w:rsidRDefault="005505B5" w:rsidP="005505B5">
      <w:pPr>
        <w:pStyle w:val="ListParagraph"/>
        <w:numPr>
          <w:ilvl w:val="1"/>
          <w:numId w:val="6"/>
        </w:numPr>
      </w:pPr>
      <w:r w:rsidRPr="005505B5">
        <w:t>Life stage and gender of the organisms</w:t>
      </w:r>
    </w:p>
    <w:p w14:paraId="4BA8A4D1" w14:textId="668FDA44" w:rsidR="005505B5" w:rsidRPr="005505B5" w:rsidRDefault="005505B5" w:rsidP="005505B5">
      <w:pPr>
        <w:pStyle w:val="ListParagraph"/>
        <w:numPr>
          <w:ilvl w:val="1"/>
          <w:numId w:val="6"/>
        </w:numPr>
      </w:pPr>
      <w:r w:rsidRPr="005505B5">
        <w:t>Name of the specific bioassay, if relevant</w:t>
      </w:r>
    </w:p>
    <w:p w14:paraId="307B8399" w14:textId="46EB16D0" w:rsidR="00E10BBC" w:rsidRPr="005505B5" w:rsidRDefault="00E10BBC" w:rsidP="00E10BBC">
      <w:pPr>
        <w:pStyle w:val="ListParagraph"/>
        <w:numPr>
          <w:ilvl w:val="0"/>
          <w:numId w:val="6"/>
        </w:numPr>
      </w:pPr>
      <w:r w:rsidRPr="005505B5">
        <w:rPr>
          <w:lang w:val="en-GB"/>
        </w:rPr>
        <w:t>information about the study</w:t>
      </w:r>
      <w:r w:rsidR="005505B5" w:rsidRPr="005505B5">
        <w:rPr>
          <w:lang w:val="en-GB"/>
        </w:rPr>
        <w:t xml:space="preserve"> design, including:</w:t>
      </w:r>
      <w:r w:rsidRPr="005505B5">
        <w:rPr>
          <w:lang w:val="en-GB"/>
        </w:rPr>
        <w:t xml:space="preserve"> </w:t>
      </w:r>
    </w:p>
    <w:p w14:paraId="0D7440C1" w14:textId="6EF5B1E6" w:rsidR="00E10BBC" w:rsidRPr="005505B5" w:rsidRDefault="005505B5" w:rsidP="00E10BBC">
      <w:pPr>
        <w:pStyle w:val="ListParagraph"/>
        <w:numPr>
          <w:ilvl w:val="1"/>
          <w:numId w:val="6"/>
        </w:numPr>
      </w:pPr>
      <w:r w:rsidRPr="005505B5">
        <w:rPr>
          <w:lang w:val="en-GB"/>
        </w:rPr>
        <w:t>whether it investigated a specific intervention or exposure, and if so details of any chemical exposure</w:t>
      </w:r>
      <w:r>
        <w:rPr>
          <w:lang w:val="en-GB"/>
        </w:rPr>
        <w:t>(s)</w:t>
      </w:r>
    </w:p>
    <w:p w14:paraId="4C2F636A" w14:textId="62B6ABF4" w:rsidR="00E10BBC" w:rsidRDefault="00E10BBC" w:rsidP="00E10BBC">
      <w:pPr>
        <w:pStyle w:val="ListParagraph"/>
        <w:numPr>
          <w:ilvl w:val="1"/>
          <w:numId w:val="6"/>
        </w:numPr>
      </w:pPr>
      <w:r w:rsidRPr="005505B5">
        <w:t>Hormones measured</w:t>
      </w:r>
      <w:r w:rsidR="005505B5" w:rsidRPr="005505B5">
        <w:t xml:space="preserve"> and associated endocrine modality(ies)</w:t>
      </w:r>
    </w:p>
    <w:p w14:paraId="14EFA2F5" w14:textId="6AE7AE3D" w:rsidR="005505B5" w:rsidRDefault="00FB708A" w:rsidP="005505B5">
      <w:pPr>
        <w:pStyle w:val="ListParagraph"/>
        <w:numPr>
          <w:ilvl w:val="0"/>
          <w:numId w:val="6"/>
        </w:numPr>
      </w:pPr>
      <w:r>
        <w:t>Details of the sampling for hormone measureme</w:t>
      </w:r>
      <w:r w:rsidR="00742BEA">
        <w:t>n</w:t>
      </w:r>
      <w:r>
        <w:t>ts, particularly:</w:t>
      </w:r>
    </w:p>
    <w:p w14:paraId="00604492" w14:textId="21B52334" w:rsidR="00FB708A" w:rsidRDefault="00FB708A" w:rsidP="00FB708A">
      <w:pPr>
        <w:pStyle w:val="ListParagraph"/>
        <w:numPr>
          <w:ilvl w:val="1"/>
          <w:numId w:val="6"/>
        </w:numPr>
      </w:pPr>
      <w:r>
        <w:t>Whether the sampling method was invasive</w:t>
      </w:r>
    </w:p>
    <w:p w14:paraId="3D145330" w14:textId="0A02ADD3" w:rsidR="00FB708A" w:rsidRDefault="00FB708A" w:rsidP="00FB708A">
      <w:pPr>
        <w:pStyle w:val="ListParagraph"/>
        <w:numPr>
          <w:ilvl w:val="1"/>
          <w:numId w:val="6"/>
        </w:numPr>
      </w:pPr>
      <w:r>
        <w:t>The matrix sampled</w:t>
      </w:r>
    </w:p>
    <w:p w14:paraId="23D33C24" w14:textId="089ABDB1" w:rsidR="00FB708A" w:rsidRDefault="00FB708A" w:rsidP="00FB708A">
      <w:pPr>
        <w:pStyle w:val="ListParagraph"/>
        <w:numPr>
          <w:ilvl w:val="1"/>
          <w:numId w:val="6"/>
        </w:numPr>
      </w:pPr>
      <w:r>
        <w:t>The amount (e.g. volume or weight) of sample required for analysis</w:t>
      </w:r>
    </w:p>
    <w:p w14:paraId="446AF7BC" w14:textId="56AEAFD4" w:rsidR="00FB708A" w:rsidRDefault="00FB708A" w:rsidP="00FB708A">
      <w:pPr>
        <w:pStyle w:val="ListParagraph"/>
        <w:numPr>
          <w:ilvl w:val="1"/>
          <w:numId w:val="6"/>
        </w:numPr>
      </w:pPr>
      <w:r>
        <w:t xml:space="preserve">Whether samples needed to be pooled across several individual </w:t>
      </w:r>
    </w:p>
    <w:p w14:paraId="5105B2BF" w14:textId="076037F4" w:rsidR="00E10BBC" w:rsidRPr="00FB708A" w:rsidRDefault="00FB708A" w:rsidP="00FB708A">
      <w:pPr>
        <w:pStyle w:val="ListParagraph"/>
        <w:numPr>
          <w:ilvl w:val="0"/>
          <w:numId w:val="6"/>
        </w:numPr>
      </w:pPr>
      <w:r w:rsidRPr="00FB708A">
        <w:t>Details of</w:t>
      </w:r>
      <w:r w:rsidR="00E10BBC" w:rsidRPr="00FB708A">
        <w:t xml:space="preserve"> the hormone measurement method including;</w:t>
      </w:r>
    </w:p>
    <w:p w14:paraId="62A73009" w14:textId="2F40B7E7" w:rsidR="00E10BBC" w:rsidRPr="00FB708A" w:rsidRDefault="00FB708A" w:rsidP="00E10BBC">
      <w:pPr>
        <w:pStyle w:val="ListParagraph"/>
        <w:numPr>
          <w:ilvl w:val="1"/>
          <w:numId w:val="6"/>
        </w:numPr>
      </w:pPr>
      <w:r w:rsidRPr="00FB708A">
        <w:t>The type of method and method name</w:t>
      </w:r>
    </w:p>
    <w:p w14:paraId="42EAC3A1" w14:textId="0024EA40" w:rsidR="00E10BBC" w:rsidRPr="00FB708A" w:rsidRDefault="00FB708A" w:rsidP="00E10BBC">
      <w:pPr>
        <w:pStyle w:val="ListParagraph"/>
        <w:numPr>
          <w:ilvl w:val="1"/>
          <w:numId w:val="6"/>
        </w:numPr>
      </w:pPr>
      <w:r w:rsidRPr="00FB708A">
        <w:t>Whether a standard operating procedure exists (SOP)</w:t>
      </w:r>
    </w:p>
    <w:p w14:paraId="233B3919" w14:textId="3E37202F" w:rsidR="00FB708A" w:rsidRPr="00FB708A" w:rsidRDefault="00FB708A" w:rsidP="00E10BBC">
      <w:pPr>
        <w:pStyle w:val="ListParagraph"/>
        <w:numPr>
          <w:ilvl w:val="1"/>
          <w:numId w:val="6"/>
        </w:numPr>
      </w:pPr>
      <w:r w:rsidRPr="00FB708A">
        <w:t>The use of internal standards</w:t>
      </w:r>
    </w:p>
    <w:p w14:paraId="63DA71E1" w14:textId="5E601320" w:rsidR="00FB708A" w:rsidRPr="00FB708A" w:rsidRDefault="00FB708A" w:rsidP="00E10BBC">
      <w:pPr>
        <w:pStyle w:val="ListParagraph"/>
        <w:numPr>
          <w:ilvl w:val="1"/>
          <w:numId w:val="6"/>
        </w:numPr>
      </w:pPr>
      <w:r w:rsidRPr="00FB708A">
        <w:t>Sensitivity (limit of detection and</w:t>
      </w:r>
      <w:r w:rsidR="00C45A17">
        <w:t>/</w:t>
      </w:r>
      <w:r w:rsidRPr="00FB708A">
        <w:t>or limit of quantification)</w:t>
      </w:r>
    </w:p>
    <w:p w14:paraId="08F5DFB2" w14:textId="1795756D" w:rsidR="00FB708A" w:rsidRDefault="00FB708A" w:rsidP="00E10BBC">
      <w:pPr>
        <w:pStyle w:val="ListParagraph"/>
        <w:numPr>
          <w:ilvl w:val="1"/>
          <w:numId w:val="6"/>
        </w:numPr>
      </w:pPr>
      <w:r w:rsidRPr="00FB708A">
        <w:t>Any reported information relevant to specificity</w:t>
      </w:r>
    </w:p>
    <w:p w14:paraId="4335897D" w14:textId="2284FBB5" w:rsidR="00D27629" w:rsidRDefault="00FB708A" w:rsidP="008A030E">
      <w:pPr>
        <w:jc w:val="both"/>
      </w:pPr>
      <w:r>
        <w:t xml:space="preserve">At this stage, the aim of </w:t>
      </w:r>
      <w:r w:rsidR="00742BEA">
        <w:t xml:space="preserve">this </w:t>
      </w:r>
      <w:r>
        <w:t xml:space="preserve">data extraction </w:t>
      </w:r>
      <w:r w:rsidR="00742BEA">
        <w:t xml:space="preserve">template </w:t>
      </w:r>
      <w:r>
        <w:t xml:space="preserve">is to capture essential information that can be used to categorise </w:t>
      </w:r>
      <w:r w:rsidR="00742BEA">
        <w:t xml:space="preserve">different methods for further data analysis rather than attempt to capture every </w:t>
      </w:r>
      <w:r w:rsidR="00742BEA">
        <w:lastRenderedPageBreak/>
        <w:t>relevant detail</w:t>
      </w:r>
      <w:r w:rsidR="00D27629">
        <w:t xml:space="preserve"> reported in each article</w:t>
      </w:r>
      <w:r w:rsidR="00742BEA">
        <w:t xml:space="preserve">. </w:t>
      </w:r>
      <w:r w:rsidR="00D27629">
        <w:t>This is achieved by the use of drop-down menus restricting possible answers to lists of categories whenever possible.</w:t>
      </w:r>
    </w:p>
    <w:p w14:paraId="5BC6A26C" w14:textId="2909C850" w:rsidR="00FB708A" w:rsidRDefault="00742BEA" w:rsidP="008A030E">
      <w:pPr>
        <w:jc w:val="both"/>
      </w:pPr>
      <w:r>
        <w:t xml:space="preserve">This template was piloted by extracting data from four representative articles by four evaluators in parallel duplicates. As a result of this exercise, the data extraction template was amended </w:t>
      </w:r>
      <w:r w:rsidR="008251E0">
        <w:t>and corrected. The following items were added</w:t>
      </w:r>
      <w:r>
        <w:t>;</w:t>
      </w:r>
    </w:p>
    <w:p w14:paraId="19D515AA" w14:textId="30BAB6AB" w:rsidR="00742BEA" w:rsidRDefault="00D27629" w:rsidP="00D27629">
      <w:pPr>
        <w:pStyle w:val="ListParagraph"/>
        <w:numPr>
          <w:ilvl w:val="0"/>
          <w:numId w:val="17"/>
        </w:numPr>
      </w:pPr>
      <w:r>
        <w:t>The aim of the hormonal measurement</w:t>
      </w:r>
      <w:r w:rsidR="008251E0">
        <w:t>s,</w:t>
      </w:r>
    </w:p>
    <w:p w14:paraId="2E2AA955" w14:textId="05FE8096" w:rsidR="008251E0" w:rsidRDefault="008251E0" w:rsidP="00D27629">
      <w:pPr>
        <w:pStyle w:val="ListParagraph"/>
        <w:numPr>
          <w:ilvl w:val="0"/>
          <w:numId w:val="17"/>
        </w:numPr>
      </w:pPr>
      <w:r>
        <w:t>Whether sample extraction step(s) was/were necessary and brief details about methods used,</w:t>
      </w:r>
    </w:p>
    <w:p w14:paraId="31267703" w14:textId="49A36D23" w:rsidR="008251E0" w:rsidRDefault="008251E0" w:rsidP="008251E0">
      <w:pPr>
        <w:pStyle w:val="ListParagraph"/>
        <w:numPr>
          <w:ilvl w:val="0"/>
          <w:numId w:val="17"/>
        </w:numPr>
      </w:pPr>
      <w:r>
        <w:t>Brief information about the accuracy and precision of the method.</w:t>
      </w:r>
    </w:p>
    <w:p w14:paraId="1D9EA425" w14:textId="75BA208C" w:rsidR="008251E0" w:rsidRPr="00FB708A" w:rsidRDefault="00212D93" w:rsidP="00415419">
      <w:pPr>
        <w:jc w:val="both"/>
      </w:pPr>
      <w:r>
        <w:t>The amended data extraction temple can be found in A</w:t>
      </w:r>
      <w:r w:rsidR="00806D5E">
        <w:t>ppendi</w:t>
      </w:r>
      <w:r>
        <w:t xml:space="preserve">x </w:t>
      </w:r>
      <w:r w:rsidR="00806D5E">
        <w:t>B</w:t>
      </w:r>
      <w:r>
        <w:t>. This amended version of the data extraction template will be further revised following review by EFSA colleagues and public invitation for comments. The revised version will again be piloted with a different set of relevant studies and a set of guidelines for evaluators as</w:t>
      </w:r>
      <w:r w:rsidR="008F4889">
        <w:t xml:space="preserve"> to</w:t>
      </w:r>
      <w:r>
        <w:t xml:space="preserve"> what is considered a ‘unit of evidence’, or how information is collated when an article </w:t>
      </w:r>
      <w:r w:rsidR="00415419">
        <w:t>reports information about different species, methods, hormones etc.</w:t>
      </w:r>
    </w:p>
    <w:p w14:paraId="78675C66" w14:textId="0A877F9F" w:rsidR="0062351D" w:rsidRDefault="0062351D" w:rsidP="0062351D">
      <w:pPr>
        <w:pStyle w:val="Heading2"/>
        <w:keepNext w:val="0"/>
        <w:keepLines w:val="0"/>
        <w:numPr>
          <w:ilvl w:val="1"/>
          <w:numId w:val="0"/>
        </w:numPr>
        <w:spacing w:before="200" w:line="276" w:lineRule="auto"/>
        <w:ind w:left="576" w:hanging="576"/>
      </w:pPr>
      <w:r w:rsidRPr="00415419">
        <w:t>Data analysis</w:t>
      </w:r>
    </w:p>
    <w:p w14:paraId="0B37AB71" w14:textId="36921C9D" w:rsidR="001F291D" w:rsidRDefault="008A030E" w:rsidP="008A030E">
      <w:pPr>
        <w:pStyle w:val="Default"/>
        <w:jc w:val="both"/>
        <w:rPr>
          <w:sz w:val="22"/>
          <w:szCs w:val="22"/>
        </w:rPr>
      </w:pPr>
      <w:r w:rsidRPr="008A030E">
        <w:rPr>
          <w:sz w:val="22"/>
          <w:szCs w:val="22"/>
        </w:rPr>
        <w:t>A description of the volume and characteristics of the evidence base collated in the previous step, such as the availability of analytical methods for different hormones and taxonomic group</w:t>
      </w:r>
      <w:r>
        <w:rPr>
          <w:sz w:val="22"/>
          <w:szCs w:val="22"/>
        </w:rPr>
        <w:t>s and if data permits indicators of performance (e.g. accuracy, precision, sensitivity, selectivity) of these different methods</w:t>
      </w:r>
      <w:r w:rsidRPr="008A030E">
        <w:rPr>
          <w:sz w:val="22"/>
          <w:szCs w:val="22"/>
        </w:rPr>
        <w:t xml:space="preserve"> will be visually summarised and presented</w:t>
      </w:r>
      <w:r>
        <w:rPr>
          <w:sz w:val="22"/>
          <w:szCs w:val="22"/>
        </w:rPr>
        <w:t xml:space="preserve"> using the capabilities of the data visualisation software Tableau</w:t>
      </w:r>
      <w:r w:rsidR="004E5C5E">
        <w:rPr>
          <w:sz w:val="22"/>
          <w:szCs w:val="22"/>
        </w:rPr>
        <w:t>.</w:t>
      </w:r>
    </w:p>
    <w:p w14:paraId="1E608F80" w14:textId="77777777" w:rsidR="004E5C5E" w:rsidRDefault="004E5C5E" w:rsidP="008A030E">
      <w:pPr>
        <w:pStyle w:val="Default"/>
        <w:jc w:val="both"/>
        <w:rPr>
          <w:sz w:val="22"/>
          <w:szCs w:val="22"/>
        </w:rPr>
      </w:pPr>
    </w:p>
    <w:p w14:paraId="412BB761" w14:textId="4EA3EC3E" w:rsidR="00A568DD" w:rsidRDefault="004E5C5E" w:rsidP="008A030E">
      <w:pPr>
        <w:pStyle w:val="Default"/>
        <w:jc w:val="both"/>
        <w:rPr>
          <w:sz w:val="22"/>
          <w:szCs w:val="22"/>
        </w:rPr>
      </w:pPr>
      <w:r>
        <w:rPr>
          <w:sz w:val="22"/>
          <w:szCs w:val="22"/>
        </w:rPr>
        <w:t xml:space="preserve">An in-depth qualitative analysis will also be carried out by combining results by taxonomic group, method type and endocrine modality or hormone measured. </w:t>
      </w:r>
      <w:r w:rsidR="00A568DD">
        <w:rPr>
          <w:sz w:val="22"/>
          <w:szCs w:val="22"/>
        </w:rPr>
        <w:t xml:space="preserve">This may require additional searches to identify the papers that have cited an article about a given method </w:t>
      </w:r>
      <w:r w:rsidR="00EE37D9">
        <w:rPr>
          <w:sz w:val="22"/>
          <w:szCs w:val="22"/>
        </w:rPr>
        <w:t xml:space="preserve">to gauge </w:t>
      </w:r>
      <w:r w:rsidR="00A568DD">
        <w:rPr>
          <w:sz w:val="22"/>
          <w:szCs w:val="22"/>
        </w:rPr>
        <w:t xml:space="preserve">how </w:t>
      </w:r>
      <w:r w:rsidR="00EE37D9">
        <w:rPr>
          <w:sz w:val="22"/>
          <w:szCs w:val="22"/>
        </w:rPr>
        <w:t>widely</w:t>
      </w:r>
      <w:r w:rsidR="00A568DD">
        <w:rPr>
          <w:sz w:val="22"/>
          <w:szCs w:val="22"/>
        </w:rPr>
        <w:t xml:space="preserve"> </w:t>
      </w:r>
      <w:r w:rsidR="00EE37D9">
        <w:rPr>
          <w:sz w:val="22"/>
          <w:szCs w:val="22"/>
        </w:rPr>
        <w:t xml:space="preserve">and reliably </w:t>
      </w:r>
      <w:r w:rsidR="00A568DD">
        <w:rPr>
          <w:sz w:val="22"/>
          <w:szCs w:val="22"/>
        </w:rPr>
        <w:t xml:space="preserve">it has been applied in the context of chemical testing. </w:t>
      </w:r>
    </w:p>
    <w:p w14:paraId="7CE9508A" w14:textId="77777777" w:rsidR="00A568DD" w:rsidRDefault="00A568DD" w:rsidP="008A030E">
      <w:pPr>
        <w:pStyle w:val="Default"/>
        <w:jc w:val="both"/>
        <w:rPr>
          <w:sz w:val="22"/>
          <w:szCs w:val="22"/>
        </w:rPr>
      </w:pPr>
    </w:p>
    <w:p w14:paraId="19BDB744" w14:textId="4526CF3E" w:rsidR="004E5C5E" w:rsidRPr="008A030E" w:rsidRDefault="004E5C5E" w:rsidP="008A030E">
      <w:pPr>
        <w:pStyle w:val="Default"/>
        <w:jc w:val="both"/>
        <w:rPr>
          <w:sz w:val="22"/>
          <w:szCs w:val="22"/>
        </w:rPr>
      </w:pPr>
      <w:r>
        <w:rPr>
          <w:sz w:val="22"/>
          <w:szCs w:val="22"/>
        </w:rPr>
        <w:t>This analysis will guide the design of a questionnaire addressed to laboratories that routinely carry out regulatory ecotoxicity studies. This questionnaire will seek opinions on technical and scientific aspects as well practical feasibility aspects that are rarely addressed in the scientific literature such as availability of equipment, technical expertise required and costs involved.</w:t>
      </w:r>
    </w:p>
    <w:sectPr w:rsidR="004E5C5E" w:rsidRPr="008A030E">
      <w:footerReference w:type="default" r:id="rId2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EC9F04" w14:textId="77777777" w:rsidR="007E6C55" w:rsidRDefault="007E6C55" w:rsidP="0088241C">
      <w:pPr>
        <w:spacing w:after="0" w:line="240" w:lineRule="auto"/>
      </w:pPr>
      <w:r>
        <w:separator/>
      </w:r>
    </w:p>
  </w:endnote>
  <w:endnote w:type="continuationSeparator" w:id="0">
    <w:p w14:paraId="5CD02C96" w14:textId="77777777" w:rsidR="007E6C55" w:rsidRDefault="007E6C55" w:rsidP="0088241C">
      <w:pPr>
        <w:spacing w:after="0" w:line="240" w:lineRule="auto"/>
      </w:pPr>
      <w:r>
        <w:continuationSeparator/>
      </w:r>
    </w:p>
  </w:endnote>
  <w:endnote w:type="continuationNotice" w:id="1">
    <w:p w14:paraId="1D3551F0" w14:textId="77777777" w:rsidR="007E6C55" w:rsidRDefault="007E6C5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02672380"/>
      <w:docPartObj>
        <w:docPartGallery w:val="Page Numbers (Bottom of Page)"/>
        <w:docPartUnique/>
      </w:docPartObj>
    </w:sdtPr>
    <w:sdtEndPr>
      <w:rPr>
        <w:color w:val="7F7F7F" w:themeColor="background1" w:themeShade="7F"/>
        <w:spacing w:val="60"/>
      </w:rPr>
    </w:sdtEndPr>
    <w:sdtContent>
      <w:p w14:paraId="1EE96543" w14:textId="44A9BE70" w:rsidR="00FF0E08" w:rsidRDefault="00FF0E08">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6633C0" w:rsidRPr="006633C0">
          <w:rPr>
            <w:b/>
            <w:bCs/>
            <w:noProof/>
          </w:rPr>
          <w:t>2</w:t>
        </w:r>
        <w:r>
          <w:rPr>
            <w:b/>
            <w:bCs/>
            <w:noProof/>
          </w:rPr>
          <w:fldChar w:fldCharType="end"/>
        </w:r>
        <w:r>
          <w:rPr>
            <w:b/>
            <w:bCs/>
          </w:rPr>
          <w:t xml:space="preserve"> | </w:t>
        </w:r>
        <w:r>
          <w:rPr>
            <w:color w:val="7F7F7F" w:themeColor="background1" w:themeShade="7F"/>
            <w:spacing w:val="60"/>
          </w:rPr>
          <w:t>Page</w:t>
        </w:r>
      </w:p>
    </w:sdtContent>
  </w:sdt>
  <w:p w14:paraId="3EA5884A" w14:textId="77777777" w:rsidR="00AF6CAA" w:rsidRDefault="00AF6C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441F51" w14:textId="77777777" w:rsidR="007E6C55" w:rsidRDefault="007E6C55" w:rsidP="0088241C">
      <w:pPr>
        <w:spacing w:after="0" w:line="240" w:lineRule="auto"/>
      </w:pPr>
      <w:r>
        <w:separator/>
      </w:r>
    </w:p>
  </w:footnote>
  <w:footnote w:type="continuationSeparator" w:id="0">
    <w:p w14:paraId="505DED4F" w14:textId="77777777" w:rsidR="007E6C55" w:rsidRDefault="007E6C55" w:rsidP="0088241C">
      <w:pPr>
        <w:spacing w:after="0" w:line="240" w:lineRule="auto"/>
      </w:pPr>
      <w:r>
        <w:continuationSeparator/>
      </w:r>
    </w:p>
  </w:footnote>
  <w:footnote w:type="continuationNotice" w:id="1">
    <w:p w14:paraId="65B1999C" w14:textId="77777777" w:rsidR="007E6C55" w:rsidRDefault="007E6C55">
      <w:pPr>
        <w:spacing w:after="0" w:line="240" w:lineRule="auto"/>
      </w:pPr>
    </w:p>
  </w:footnote>
  <w:footnote w:id="2">
    <w:p w14:paraId="38464232" w14:textId="5E004358" w:rsidR="00EB7621" w:rsidRPr="00EB7621" w:rsidRDefault="00EB7621">
      <w:pPr>
        <w:pStyle w:val="FootnoteText"/>
        <w:rPr>
          <w:lang w:val="en-GB"/>
        </w:rPr>
      </w:pPr>
      <w:r>
        <w:rPr>
          <w:rStyle w:val="FootnoteReference"/>
        </w:rPr>
        <w:footnoteRef/>
      </w:r>
      <w:r>
        <w:t xml:space="preserve"> </w:t>
      </w:r>
      <w:proofErr w:type="spellStart"/>
      <w:r w:rsidRPr="00EB7621">
        <w:t>Shamseer</w:t>
      </w:r>
      <w:proofErr w:type="spellEnd"/>
      <w:r w:rsidRPr="00EB7621">
        <w:t xml:space="preserve"> L, Moher D, Clarke M, Ghersi D, Liberati A, Petticrew M et al. </w:t>
      </w:r>
      <w:r>
        <w:t xml:space="preserve">(2015) </w:t>
      </w:r>
      <w:r w:rsidRPr="00EB7621">
        <w:t xml:space="preserve">Preferred reporting items for systematic review and meta-analysis protocols (PRISMA-P) 2015: elaboration and explanation </w:t>
      </w:r>
      <w:proofErr w:type="gramStart"/>
      <w:r w:rsidRPr="00EB7621">
        <w:rPr>
          <w:i/>
        </w:rPr>
        <w:t>BMJ</w:t>
      </w:r>
      <w:r w:rsidRPr="00EB7621">
        <w:t xml:space="preserve"> ;</w:t>
      </w:r>
      <w:proofErr w:type="gramEnd"/>
      <w:r w:rsidRPr="00EB7621">
        <w:t xml:space="preserve"> 349 :g7647</w:t>
      </w:r>
    </w:p>
  </w:footnote>
  <w:footnote w:id="3">
    <w:p w14:paraId="17F1DFCF" w14:textId="1FE6BA13" w:rsidR="00E11ADD" w:rsidRPr="00E11ADD" w:rsidRDefault="00E11ADD">
      <w:pPr>
        <w:pStyle w:val="FootnoteText"/>
        <w:rPr>
          <w:lang w:val="en-GB"/>
        </w:rPr>
      </w:pPr>
      <w:r>
        <w:rPr>
          <w:rStyle w:val="FootnoteReference"/>
        </w:rPr>
        <w:footnoteRef/>
      </w:r>
      <w:r>
        <w:t xml:space="preserve"> </w:t>
      </w:r>
      <w:r w:rsidRPr="00E11ADD">
        <w:t>Whaley et al. “A Code of Practice for Conduct of Systematic Reviews in Toxicology and Environmental Health Research (COSTER)” Under development</w:t>
      </w:r>
    </w:p>
  </w:footnote>
  <w:footnote w:id="4">
    <w:p w14:paraId="5D4E7D34" w14:textId="77777777" w:rsidR="001D3891" w:rsidRPr="00576E92" w:rsidRDefault="001D3891" w:rsidP="001D3891">
      <w:pPr>
        <w:pStyle w:val="FootnoteText"/>
        <w:rPr>
          <w:lang w:val="fr-FR"/>
        </w:rPr>
      </w:pPr>
      <w:r>
        <w:rPr>
          <w:rStyle w:val="FootnoteReference"/>
        </w:rPr>
        <w:footnoteRef/>
      </w:r>
      <w:r w:rsidRPr="004F00EC">
        <w:rPr>
          <w:lang w:val="fr-FR"/>
        </w:rPr>
        <w:t xml:space="preserve"> EFSA (2017). </w:t>
      </w:r>
      <w:r w:rsidRPr="00576E92">
        <w:rPr>
          <w:lang w:val="fr-FR"/>
        </w:rPr>
        <w:t>EFSA supporting publications 2017:EN-1207. 48 pp.</w:t>
      </w:r>
      <w:r>
        <w:rPr>
          <w:lang w:val="fr-FR"/>
        </w:rPr>
        <w:t xml:space="preserve"> </w:t>
      </w:r>
      <w:r w:rsidRPr="00576E92">
        <w:rPr>
          <w:lang w:val="fr-FR"/>
        </w:rPr>
        <w:t>doi:10.2903/sp.efsa.2017.EN-1207</w:t>
      </w:r>
    </w:p>
  </w:footnote>
  <w:footnote w:id="5">
    <w:p w14:paraId="2C286316" w14:textId="77777777" w:rsidR="001D3891" w:rsidRPr="001D3891" w:rsidRDefault="001D3891" w:rsidP="001D3891">
      <w:pPr>
        <w:pStyle w:val="FootnoteText"/>
        <w:rPr>
          <w:lang w:val="fr-FR"/>
        </w:rPr>
      </w:pPr>
      <w:r>
        <w:rPr>
          <w:rStyle w:val="FootnoteReference"/>
        </w:rPr>
        <w:footnoteRef/>
      </w:r>
      <w:r w:rsidRPr="00B32967">
        <w:rPr>
          <w:lang w:val="fr-FR"/>
        </w:rPr>
        <w:t xml:space="preserve"> EFSA (2015) EFSA supporting publication 2015:EN-836. </w:t>
      </w:r>
      <w:r w:rsidRPr="001D3891">
        <w:rPr>
          <w:lang w:val="fr-FR"/>
        </w:rPr>
        <w:t>65 pp. Appendix 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373C9"/>
    <w:multiLevelType w:val="hybridMultilevel"/>
    <w:tmpl w:val="7B3C14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3D4C2F"/>
    <w:multiLevelType w:val="hybridMultilevel"/>
    <w:tmpl w:val="CF404F7C"/>
    <w:lvl w:ilvl="0" w:tplc="E1FE671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8986536"/>
    <w:multiLevelType w:val="hybridMultilevel"/>
    <w:tmpl w:val="25FED8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83018B"/>
    <w:multiLevelType w:val="hybridMultilevel"/>
    <w:tmpl w:val="D6424AE2"/>
    <w:lvl w:ilvl="0" w:tplc="DBAE30CA">
      <w:numFmt w:val="bullet"/>
      <w:lvlText w:val="•"/>
      <w:lvlJc w:val="left"/>
      <w:pPr>
        <w:ind w:left="1080" w:hanging="72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BC1CA7"/>
    <w:multiLevelType w:val="hybridMultilevel"/>
    <w:tmpl w:val="CE541E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5E57D1"/>
    <w:multiLevelType w:val="hybridMultilevel"/>
    <w:tmpl w:val="5D341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E6D6F0F"/>
    <w:multiLevelType w:val="hybridMultilevel"/>
    <w:tmpl w:val="ED5C6BE4"/>
    <w:lvl w:ilvl="0" w:tplc="35AED0C6">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801CE60"/>
    <w:multiLevelType w:val="hybridMultilevel"/>
    <w:tmpl w:val="FC2D6D5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39664BE1"/>
    <w:multiLevelType w:val="hybridMultilevel"/>
    <w:tmpl w:val="9E98CD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86F01C3"/>
    <w:multiLevelType w:val="hybridMultilevel"/>
    <w:tmpl w:val="AF1896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A653A05"/>
    <w:multiLevelType w:val="hybridMultilevel"/>
    <w:tmpl w:val="27EE25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6AD660B"/>
    <w:multiLevelType w:val="hybridMultilevel"/>
    <w:tmpl w:val="067030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F6C7257"/>
    <w:multiLevelType w:val="hybridMultilevel"/>
    <w:tmpl w:val="A11EAD38"/>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3" w15:restartNumberingAfterBreak="0">
    <w:nsid w:val="61956F7E"/>
    <w:multiLevelType w:val="hybridMultilevel"/>
    <w:tmpl w:val="10F4A70E"/>
    <w:lvl w:ilvl="0" w:tplc="08090001">
      <w:start w:val="1"/>
      <w:numFmt w:val="bullet"/>
      <w:lvlText w:val=""/>
      <w:lvlJc w:val="left"/>
      <w:pPr>
        <w:ind w:left="770" w:hanging="360"/>
      </w:pPr>
      <w:rPr>
        <w:rFonts w:ascii="Symbol" w:hAnsi="Symbol" w:hint="default"/>
      </w:rPr>
    </w:lvl>
    <w:lvl w:ilvl="1" w:tplc="08090003">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4" w15:restartNumberingAfterBreak="0">
    <w:nsid w:val="6A7A15D2"/>
    <w:multiLevelType w:val="hybridMultilevel"/>
    <w:tmpl w:val="9188A8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39B4DB4"/>
    <w:multiLevelType w:val="hybridMultilevel"/>
    <w:tmpl w:val="54D251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725C4E"/>
    <w:multiLevelType w:val="hybridMultilevel"/>
    <w:tmpl w:val="2C705174"/>
    <w:lvl w:ilvl="0" w:tplc="DBAE30CA">
      <w:numFmt w:val="bullet"/>
      <w:lvlText w:val="•"/>
      <w:lvlJc w:val="left"/>
      <w:pPr>
        <w:ind w:left="1080" w:hanging="72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F054559"/>
    <w:multiLevelType w:val="hybridMultilevel"/>
    <w:tmpl w:val="4E42BA9C"/>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num w:numId="1">
    <w:abstractNumId w:val="4"/>
  </w:num>
  <w:num w:numId="2">
    <w:abstractNumId w:val="16"/>
  </w:num>
  <w:num w:numId="3">
    <w:abstractNumId w:val="3"/>
  </w:num>
  <w:num w:numId="4">
    <w:abstractNumId w:val="9"/>
  </w:num>
  <w:num w:numId="5">
    <w:abstractNumId w:val="2"/>
  </w:num>
  <w:num w:numId="6">
    <w:abstractNumId w:val="13"/>
  </w:num>
  <w:num w:numId="7">
    <w:abstractNumId w:val="6"/>
  </w:num>
  <w:num w:numId="8">
    <w:abstractNumId w:val="1"/>
  </w:num>
  <w:num w:numId="9">
    <w:abstractNumId w:val="17"/>
  </w:num>
  <w:num w:numId="10">
    <w:abstractNumId w:val="14"/>
  </w:num>
  <w:num w:numId="11">
    <w:abstractNumId w:val="0"/>
  </w:num>
  <w:num w:numId="12">
    <w:abstractNumId w:val="10"/>
  </w:num>
  <w:num w:numId="13">
    <w:abstractNumId w:val="11"/>
  </w:num>
  <w:num w:numId="14">
    <w:abstractNumId w:val="8"/>
  </w:num>
  <w:num w:numId="15">
    <w:abstractNumId w:val="5"/>
  </w:num>
  <w:num w:numId="16">
    <w:abstractNumId w:val="12"/>
  </w:num>
  <w:num w:numId="17">
    <w:abstractNumId w:val="15"/>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B61716"/>
    <w:rsid w:val="00014607"/>
    <w:rsid w:val="00025332"/>
    <w:rsid w:val="000349B9"/>
    <w:rsid w:val="00040531"/>
    <w:rsid w:val="00072BD1"/>
    <w:rsid w:val="0007636F"/>
    <w:rsid w:val="00076FDE"/>
    <w:rsid w:val="00084B73"/>
    <w:rsid w:val="0009204C"/>
    <w:rsid w:val="000C59E8"/>
    <w:rsid w:val="000D56DB"/>
    <w:rsid w:val="000E486B"/>
    <w:rsid w:val="000E735F"/>
    <w:rsid w:val="000F16DC"/>
    <w:rsid w:val="000F2BA7"/>
    <w:rsid w:val="001140DD"/>
    <w:rsid w:val="0017048C"/>
    <w:rsid w:val="001914B8"/>
    <w:rsid w:val="001B2974"/>
    <w:rsid w:val="001B6703"/>
    <w:rsid w:val="001D3891"/>
    <w:rsid w:val="001E32CE"/>
    <w:rsid w:val="001F291D"/>
    <w:rsid w:val="00212D93"/>
    <w:rsid w:val="0025504B"/>
    <w:rsid w:val="00267E7C"/>
    <w:rsid w:val="00273E4A"/>
    <w:rsid w:val="002951DC"/>
    <w:rsid w:val="002A0F33"/>
    <w:rsid w:val="00300BB5"/>
    <w:rsid w:val="0031075B"/>
    <w:rsid w:val="0033732E"/>
    <w:rsid w:val="00381174"/>
    <w:rsid w:val="00386927"/>
    <w:rsid w:val="003A55BA"/>
    <w:rsid w:val="003B400F"/>
    <w:rsid w:val="003C13CE"/>
    <w:rsid w:val="003C6118"/>
    <w:rsid w:val="00402F44"/>
    <w:rsid w:val="00415419"/>
    <w:rsid w:val="00420A8E"/>
    <w:rsid w:val="00425879"/>
    <w:rsid w:val="00426B4C"/>
    <w:rsid w:val="004345A4"/>
    <w:rsid w:val="00450B79"/>
    <w:rsid w:val="00454780"/>
    <w:rsid w:val="00456E81"/>
    <w:rsid w:val="004730FC"/>
    <w:rsid w:val="00476F37"/>
    <w:rsid w:val="00497DB1"/>
    <w:rsid w:val="004C1DA5"/>
    <w:rsid w:val="004C47DE"/>
    <w:rsid w:val="004E5C5E"/>
    <w:rsid w:val="004F00EC"/>
    <w:rsid w:val="004F15F7"/>
    <w:rsid w:val="005505B5"/>
    <w:rsid w:val="005634A3"/>
    <w:rsid w:val="005753CE"/>
    <w:rsid w:val="0058212C"/>
    <w:rsid w:val="005A0F8C"/>
    <w:rsid w:val="005A1902"/>
    <w:rsid w:val="005D4EEE"/>
    <w:rsid w:val="005D6F88"/>
    <w:rsid w:val="005E31AE"/>
    <w:rsid w:val="005F0602"/>
    <w:rsid w:val="0062351D"/>
    <w:rsid w:val="006331B9"/>
    <w:rsid w:val="00640A5E"/>
    <w:rsid w:val="00646B61"/>
    <w:rsid w:val="00651A37"/>
    <w:rsid w:val="00660A50"/>
    <w:rsid w:val="006633C0"/>
    <w:rsid w:val="006771EE"/>
    <w:rsid w:val="00697E58"/>
    <w:rsid w:val="006A3BA2"/>
    <w:rsid w:val="006D19F2"/>
    <w:rsid w:val="006D1DBA"/>
    <w:rsid w:val="006F1B91"/>
    <w:rsid w:val="006F201A"/>
    <w:rsid w:val="00704640"/>
    <w:rsid w:val="00706A50"/>
    <w:rsid w:val="0071238E"/>
    <w:rsid w:val="007154DE"/>
    <w:rsid w:val="00721C65"/>
    <w:rsid w:val="007300EF"/>
    <w:rsid w:val="0073369B"/>
    <w:rsid w:val="00742BEA"/>
    <w:rsid w:val="00744E84"/>
    <w:rsid w:val="00766983"/>
    <w:rsid w:val="007674AE"/>
    <w:rsid w:val="007A12B2"/>
    <w:rsid w:val="007A300A"/>
    <w:rsid w:val="007E363D"/>
    <w:rsid w:val="007E6C55"/>
    <w:rsid w:val="007F17DD"/>
    <w:rsid w:val="00806D5E"/>
    <w:rsid w:val="008251E0"/>
    <w:rsid w:val="00836392"/>
    <w:rsid w:val="0084636D"/>
    <w:rsid w:val="0085382E"/>
    <w:rsid w:val="00862B21"/>
    <w:rsid w:val="0086403C"/>
    <w:rsid w:val="0087069A"/>
    <w:rsid w:val="00871A87"/>
    <w:rsid w:val="008764FB"/>
    <w:rsid w:val="00876B95"/>
    <w:rsid w:val="0088241C"/>
    <w:rsid w:val="00882669"/>
    <w:rsid w:val="0088344D"/>
    <w:rsid w:val="00883FD9"/>
    <w:rsid w:val="008910A4"/>
    <w:rsid w:val="008A030E"/>
    <w:rsid w:val="008B5769"/>
    <w:rsid w:val="008F4889"/>
    <w:rsid w:val="009161D6"/>
    <w:rsid w:val="00926B7D"/>
    <w:rsid w:val="00951D2A"/>
    <w:rsid w:val="009624B5"/>
    <w:rsid w:val="0098276B"/>
    <w:rsid w:val="0099158E"/>
    <w:rsid w:val="00993CF3"/>
    <w:rsid w:val="009E5153"/>
    <w:rsid w:val="00A027B4"/>
    <w:rsid w:val="00A02857"/>
    <w:rsid w:val="00A10C05"/>
    <w:rsid w:val="00A26852"/>
    <w:rsid w:val="00A568DD"/>
    <w:rsid w:val="00A81A62"/>
    <w:rsid w:val="00A96BFE"/>
    <w:rsid w:val="00AA6460"/>
    <w:rsid w:val="00AA6FF7"/>
    <w:rsid w:val="00AC690A"/>
    <w:rsid w:val="00AD0161"/>
    <w:rsid w:val="00AD3C17"/>
    <w:rsid w:val="00AD7E0D"/>
    <w:rsid w:val="00AE3F92"/>
    <w:rsid w:val="00AF4804"/>
    <w:rsid w:val="00AF6CAA"/>
    <w:rsid w:val="00B029FE"/>
    <w:rsid w:val="00B107A6"/>
    <w:rsid w:val="00B23273"/>
    <w:rsid w:val="00B35EC5"/>
    <w:rsid w:val="00B37708"/>
    <w:rsid w:val="00B47772"/>
    <w:rsid w:val="00B50C93"/>
    <w:rsid w:val="00B61716"/>
    <w:rsid w:val="00B64EF5"/>
    <w:rsid w:val="00BB352E"/>
    <w:rsid w:val="00BC5F00"/>
    <w:rsid w:val="00BE170B"/>
    <w:rsid w:val="00C17660"/>
    <w:rsid w:val="00C45065"/>
    <w:rsid w:val="00C45A17"/>
    <w:rsid w:val="00C47F3E"/>
    <w:rsid w:val="00C67BD1"/>
    <w:rsid w:val="00C8279B"/>
    <w:rsid w:val="00CB359D"/>
    <w:rsid w:val="00CC65BE"/>
    <w:rsid w:val="00CE372E"/>
    <w:rsid w:val="00D0287C"/>
    <w:rsid w:val="00D14AFE"/>
    <w:rsid w:val="00D24F07"/>
    <w:rsid w:val="00D27629"/>
    <w:rsid w:val="00D55E63"/>
    <w:rsid w:val="00D64011"/>
    <w:rsid w:val="00D86700"/>
    <w:rsid w:val="00DB534F"/>
    <w:rsid w:val="00E10BBC"/>
    <w:rsid w:val="00E11ADD"/>
    <w:rsid w:val="00E33C7D"/>
    <w:rsid w:val="00E376C9"/>
    <w:rsid w:val="00E4610F"/>
    <w:rsid w:val="00E547A3"/>
    <w:rsid w:val="00E736E4"/>
    <w:rsid w:val="00E972BF"/>
    <w:rsid w:val="00EB5D35"/>
    <w:rsid w:val="00EB6E64"/>
    <w:rsid w:val="00EB7621"/>
    <w:rsid w:val="00EC7C87"/>
    <w:rsid w:val="00ED7D2A"/>
    <w:rsid w:val="00EE37D9"/>
    <w:rsid w:val="00F053A9"/>
    <w:rsid w:val="00F1350A"/>
    <w:rsid w:val="00F3268C"/>
    <w:rsid w:val="00F523B2"/>
    <w:rsid w:val="00F6003A"/>
    <w:rsid w:val="00F76D05"/>
    <w:rsid w:val="00F80BA8"/>
    <w:rsid w:val="00F8226C"/>
    <w:rsid w:val="00F93669"/>
    <w:rsid w:val="00FA355C"/>
    <w:rsid w:val="00FA5847"/>
    <w:rsid w:val="00FB49A0"/>
    <w:rsid w:val="00FB68CB"/>
    <w:rsid w:val="00FB708A"/>
    <w:rsid w:val="00FC09D5"/>
    <w:rsid w:val="00FD4FCC"/>
    <w:rsid w:val="00FD5981"/>
    <w:rsid w:val="00FF0E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FE35D5"/>
  <w15:docId w15:val="{5E6CB716-3173-4524-AD74-42FAC1BCE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14AF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B6171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88241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84636D"/>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B6171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61716"/>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rsid w:val="00B61716"/>
    <w:rPr>
      <w:rFonts w:asciiTheme="majorHAnsi" w:eastAsiaTheme="majorEastAsia" w:hAnsiTheme="majorHAnsi" w:cstheme="majorBidi"/>
      <w:color w:val="2F5496" w:themeColor="accent1" w:themeShade="BF"/>
      <w:sz w:val="26"/>
      <w:szCs w:val="26"/>
    </w:rPr>
  </w:style>
  <w:style w:type="character" w:styleId="Hyperlink">
    <w:name w:val="Hyperlink"/>
    <w:basedOn w:val="DefaultParagraphFont"/>
    <w:uiPriority w:val="99"/>
    <w:unhideWhenUsed/>
    <w:rsid w:val="00B61716"/>
    <w:rPr>
      <w:color w:val="0563C1" w:themeColor="hyperlink"/>
      <w:u w:val="single"/>
    </w:rPr>
  </w:style>
  <w:style w:type="character" w:customStyle="1" w:styleId="Heading1Char">
    <w:name w:val="Heading 1 Char"/>
    <w:basedOn w:val="DefaultParagraphFont"/>
    <w:link w:val="Heading1"/>
    <w:uiPriority w:val="9"/>
    <w:rsid w:val="00D14AF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88241C"/>
    <w:rPr>
      <w:rFonts w:asciiTheme="majorHAnsi" w:eastAsiaTheme="majorEastAsia" w:hAnsiTheme="majorHAnsi" w:cstheme="majorBidi"/>
      <w:color w:val="1F3763" w:themeColor="accent1" w:themeShade="7F"/>
      <w:sz w:val="24"/>
      <w:szCs w:val="24"/>
    </w:rPr>
  </w:style>
  <w:style w:type="paragraph" w:styleId="ListParagraph">
    <w:name w:val="List Paragraph"/>
    <w:aliases w:val="Heading 2_sj"/>
    <w:basedOn w:val="Normal"/>
    <w:link w:val="ListParagraphChar"/>
    <w:uiPriority w:val="34"/>
    <w:qFormat/>
    <w:rsid w:val="0088241C"/>
    <w:pPr>
      <w:spacing w:after="200" w:line="276" w:lineRule="auto"/>
      <w:ind w:left="720"/>
      <w:contextualSpacing/>
    </w:pPr>
    <w:rPr>
      <w:lang w:val="en-US" w:bidi="en-US"/>
    </w:rPr>
  </w:style>
  <w:style w:type="paragraph" w:styleId="FootnoteText">
    <w:name w:val="footnote text"/>
    <w:basedOn w:val="Normal"/>
    <w:link w:val="FootnoteTextChar"/>
    <w:uiPriority w:val="99"/>
    <w:unhideWhenUsed/>
    <w:rsid w:val="0088241C"/>
    <w:pPr>
      <w:spacing w:after="0" w:line="240" w:lineRule="auto"/>
    </w:pPr>
    <w:rPr>
      <w:sz w:val="20"/>
      <w:szCs w:val="20"/>
      <w:lang w:val="en-US" w:bidi="en-US"/>
    </w:rPr>
  </w:style>
  <w:style w:type="character" w:customStyle="1" w:styleId="FootnoteTextChar">
    <w:name w:val="Footnote Text Char"/>
    <w:basedOn w:val="DefaultParagraphFont"/>
    <w:link w:val="FootnoteText"/>
    <w:uiPriority w:val="99"/>
    <w:rsid w:val="0088241C"/>
    <w:rPr>
      <w:sz w:val="20"/>
      <w:szCs w:val="20"/>
      <w:lang w:val="en-US" w:bidi="en-US"/>
    </w:rPr>
  </w:style>
  <w:style w:type="character" w:styleId="FootnoteReference">
    <w:name w:val="footnote reference"/>
    <w:basedOn w:val="DefaultParagraphFont"/>
    <w:uiPriority w:val="99"/>
    <w:semiHidden/>
    <w:unhideWhenUsed/>
    <w:rsid w:val="0088241C"/>
    <w:rPr>
      <w:vertAlign w:val="superscript"/>
    </w:rPr>
  </w:style>
  <w:style w:type="paragraph" w:styleId="NoSpacing">
    <w:name w:val="No Spacing"/>
    <w:uiPriority w:val="1"/>
    <w:qFormat/>
    <w:rsid w:val="0088241C"/>
    <w:pPr>
      <w:spacing w:after="0" w:line="240" w:lineRule="auto"/>
    </w:pPr>
    <w:rPr>
      <w:lang w:val="en-US" w:bidi="en-US"/>
    </w:rPr>
  </w:style>
  <w:style w:type="character" w:customStyle="1" w:styleId="Heading4Char">
    <w:name w:val="Heading 4 Char"/>
    <w:basedOn w:val="DefaultParagraphFont"/>
    <w:link w:val="Heading4"/>
    <w:uiPriority w:val="9"/>
    <w:rsid w:val="0084636D"/>
    <w:rPr>
      <w:rFonts w:asciiTheme="majorHAnsi" w:eastAsiaTheme="majorEastAsia" w:hAnsiTheme="majorHAnsi" w:cstheme="majorBidi"/>
      <w:i/>
      <w:iCs/>
      <w:color w:val="2F5496" w:themeColor="accent1" w:themeShade="BF"/>
    </w:rPr>
  </w:style>
  <w:style w:type="paragraph" w:styleId="Caption">
    <w:name w:val="caption"/>
    <w:basedOn w:val="Normal"/>
    <w:next w:val="Normal"/>
    <w:uiPriority w:val="35"/>
    <w:unhideWhenUsed/>
    <w:qFormat/>
    <w:rsid w:val="00883FD9"/>
    <w:pPr>
      <w:spacing w:after="200" w:line="240" w:lineRule="auto"/>
    </w:pPr>
    <w:rPr>
      <w:i/>
      <w:iCs/>
      <w:color w:val="44546A" w:themeColor="text2"/>
      <w:sz w:val="18"/>
      <w:szCs w:val="18"/>
      <w:lang w:val="en-US" w:bidi="en-US"/>
    </w:rPr>
  </w:style>
  <w:style w:type="paragraph" w:customStyle="1" w:styleId="Default">
    <w:name w:val="Default"/>
    <w:rsid w:val="00883FD9"/>
    <w:pPr>
      <w:autoSpaceDE w:val="0"/>
      <w:autoSpaceDN w:val="0"/>
      <w:adjustRightInd w:val="0"/>
      <w:spacing w:after="0" w:line="240" w:lineRule="auto"/>
    </w:pPr>
    <w:rPr>
      <w:rFonts w:ascii="Calibri" w:hAnsi="Calibri" w:cs="Calibri"/>
      <w:color w:val="000000"/>
      <w:sz w:val="24"/>
      <w:szCs w:val="24"/>
    </w:rPr>
  </w:style>
  <w:style w:type="table" w:customStyle="1" w:styleId="ListTable3-Accent31">
    <w:name w:val="List Table 3 - Accent 31"/>
    <w:basedOn w:val="TableNormal"/>
    <w:uiPriority w:val="48"/>
    <w:rsid w:val="00883FD9"/>
    <w:pPr>
      <w:spacing w:after="0" w:line="240" w:lineRule="auto"/>
    </w:p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TableGrid">
    <w:name w:val="Table Grid"/>
    <w:basedOn w:val="TableNormal"/>
    <w:uiPriority w:val="59"/>
    <w:rsid w:val="0031075B"/>
    <w:pPr>
      <w:spacing w:after="0" w:line="240" w:lineRule="auto"/>
    </w:pPr>
    <w:rPr>
      <w:lang w:val="en-US" w:bidi="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FollowedHyperlink">
    <w:name w:val="FollowedHyperlink"/>
    <w:basedOn w:val="DefaultParagraphFont"/>
    <w:uiPriority w:val="99"/>
    <w:semiHidden/>
    <w:unhideWhenUsed/>
    <w:rsid w:val="009E5153"/>
    <w:rPr>
      <w:color w:val="954F72" w:themeColor="followedHyperlink"/>
      <w:u w:val="single"/>
    </w:rPr>
  </w:style>
  <w:style w:type="character" w:customStyle="1" w:styleId="UnresolvedMention1">
    <w:name w:val="Unresolved Mention1"/>
    <w:basedOn w:val="DefaultParagraphFont"/>
    <w:uiPriority w:val="99"/>
    <w:semiHidden/>
    <w:unhideWhenUsed/>
    <w:rsid w:val="00A26852"/>
    <w:rPr>
      <w:color w:val="808080"/>
      <w:shd w:val="clear" w:color="auto" w:fill="E6E6E6"/>
    </w:rPr>
  </w:style>
  <w:style w:type="character" w:styleId="CommentReference">
    <w:name w:val="annotation reference"/>
    <w:basedOn w:val="DefaultParagraphFont"/>
    <w:uiPriority w:val="99"/>
    <w:semiHidden/>
    <w:unhideWhenUsed/>
    <w:rsid w:val="0062351D"/>
    <w:rPr>
      <w:sz w:val="16"/>
      <w:szCs w:val="16"/>
    </w:rPr>
  </w:style>
  <w:style w:type="paragraph" w:styleId="CommentText">
    <w:name w:val="annotation text"/>
    <w:basedOn w:val="Normal"/>
    <w:link w:val="CommentTextChar"/>
    <w:uiPriority w:val="99"/>
    <w:semiHidden/>
    <w:unhideWhenUsed/>
    <w:rsid w:val="0062351D"/>
    <w:pPr>
      <w:spacing w:after="200" w:line="240" w:lineRule="auto"/>
    </w:pPr>
    <w:rPr>
      <w:sz w:val="20"/>
      <w:szCs w:val="20"/>
      <w:lang w:val="en-US" w:bidi="en-US"/>
    </w:rPr>
  </w:style>
  <w:style w:type="character" w:customStyle="1" w:styleId="CommentTextChar">
    <w:name w:val="Comment Text Char"/>
    <w:basedOn w:val="DefaultParagraphFont"/>
    <w:link w:val="CommentText"/>
    <w:uiPriority w:val="99"/>
    <w:semiHidden/>
    <w:rsid w:val="0062351D"/>
    <w:rPr>
      <w:sz w:val="20"/>
      <w:szCs w:val="20"/>
      <w:lang w:val="en-US" w:bidi="en-US"/>
    </w:rPr>
  </w:style>
  <w:style w:type="paragraph" w:styleId="BalloonText">
    <w:name w:val="Balloon Text"/>
    <w:basedOn w:val="Normal"/>
    <w:link w:val="BalloonTextChar"/>
    <w:uiPriority w:val="99"/>
    <w:semiHidden/>
    <w:unhideWhenUsed/>
    <w:rsid w:val="006235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351D"/>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62351D"/>
    <w:pPr>
      <w:spacing w:after="160"/>
    </w:pPr>
    <w:rPr>
      <w:b/>
      <w:bCs/>
      <w:lang w:val="en-GB" w:bidi="ar-SA"/>
    </w:rPr>
  </w:style>
  <w:style w:type="character" w:customStyle="1" w:styleId="CommentSubjectChar">
    <w:name w:val="Comment Subject Char"/>
    <w:basedOn w:val="CommentTextChar"/>
    <w:link w:val="CommentSubject"/>
    <w:uiPriority w:val="99"/>
    <w:semiHidden/>
    <w:rsid w:val="0062351D"/>
    <w:rPr>
      <w:b/>
      <w:bCs/>
      <w:sz w:val="20"/>
      <w:szCs w:val="20"/>
      <w:lang w:val="en-US" w:bidi="en-US"/>
    </w:rPr>
  </w:style>
  <w:style w:type="paragraph" w:styleId="Header">
    <w:name w:val="header"/>
    <w:basedOn w:val="Normal"/>
    <w:link w:val="HeaderChar"/>
    <w:uiPriority w:val="99"/>
    <w:unhideWhenUsed/>
    <w:rsid w:val="00721C65"/>
    <w:pPr>
      <w:tabs>
        <w:tab w:val="center" w:pos="4513"/>
        <w:tab w:val="right" w:pos="9026"/>
      </w:tabs>
      <w:spacing w:after="0" w:line="240" w:lineRule="auto"/>
    </w:pPr>
  </w:style>
  <w:style w:type="character" w:customStyle="1" w:styleId="HeaderChar">
    <w:name w:val="Header Char"/>
    <w:basedOn w:val="DefaultParagraphFont"/>
    <w:link w:val="Header"/>
    <w:uiPriority w:val="99"/>
    <w:rsid w:val="00721C65"/>
  </w:style>
  <w:style w:type="paragraph" w:styleId="Footer">
    <w:name w:val="footer"/>
    <w:basedOn w:val="Normal"/>
    <w:link w:val="FooterChar"/>
    <w:uiPriority w:val="99"/>
    <w:unhideWhenUsed/>
    <w:rsid w:val="00721C65"/>
    <w:pPr>
      <w:tabs>
        <w:tab w:val="center" w:pos="4513"/>
        <w:tab w:val="right" w:pos="9026"/>
      </w:tabs>
      <w:spacing w:after="0" w:line="240" w:lineRule="auto"/>
    </w:pPr>
  </w:style>
  <w:style w:type="character" w:customStyle="1" w:styleId="FooterChar">
    <w:name w:val="Footer Char"/>
    <w:basedOn w:val="DefaultParagraphFont"/>
    <w:link w:val="Footer"/>
    <w:uiPriority w:val="99"/>
    <w:rsid w:val="00721C65"/>
  </w:style>
  <w:style w:type="paragraph" w:styleId="Revision">
    <w:name w:val="Revision"/>
    <w:hidden/>
    <w:uiPriority w:val="99"/>
    <w:semiHidden/>
    <w:rsid w:val="00721C65"/>
    <w:pPr>
      <w:spacing w:after="0" w:line="240" w:lineRule="auto"/>
    </w:pPr>
  </w:style>
  <w:style w:type="character" w:customStyle="1" w:styleId="UnresolvedMention2">
    <w:name w:val="Unresolved Mention2"/>
    <w:basedOn w:val="DefaultParagraphFont"/>
    <w:uiPriority w:val="99"/>
    <w:semiHidden/>
    <w:unhideWhenUsed/>
    <w:rsid w:val="00721C65"/>
    <w:rPr>
      <w:color w:val="808080"/>
      <w:shd w:val="clear" w:color="auto" w:fill="E6E6E6"/>
    </w:rPr>
  </w:style>
  <w:style w:type="paragraph" w:styleId="NormalWeb">
    <w:name w:val="Normal (Web)"/>
    <w:basedOn w:val="Normal"/>
    <w:uiPriority w:val="99"/>
    <w:unhideWhenUsed/>
    <w:rsid w:val="00651A37"/>
    <w:pPr>
      <w:spacing w:after="0" w:line="240" w:lineRule="auto"/>
    </w:pPr>
    <w:rPr>
      <w:rFonts w:ascii="Calibri" w:hAnsi="Calibri" w:cs="Calibri"/>
      <w:lang w:eastAsia="en-GB"/>
    </w:rPr>
  </w:style>
  <w:style w:type="character" w:customStyle="1" w:styleId="UnresolvedMention3">
    <w:name w:val="Unresolved Mention3"/>
    <w:basedOn w:val="DefaultParagraphFont"/>
    <w:uiPriority w:val="99"/>
    <w:semiHidden/>
    <w:unhideWhenUsed/>
    <w:rsid w:val="004F15F7"/>
    <w:rPr>
      <w:color w:val="808080"/>
      <w:shd w:val="clear" w:color="auto" w:fill="E6E6E6"/>
    </w:rPr>
  </w:style>
  <w:style w:type="character" w:styleId="Strong">
    <w:name w:val="Strong"/>
    <w:uiPriority w:val="22"/>
    <w:qFormat/>
    <w:rsid w:val="0086403C"/>
    <w:rPr>
      <w:b/>
      <w:bCs/>
    </w:rPr>
  </w:style>
  <w:style w:type="character" w:customStyle="1" w:styleId="ListParagraphChar">
    <w:name w:val="List Paragraph Char"/>
    <w:aliases w:val="Heading 2_sj Char"/>
    <w:basedOn w:val="DefaultParagraphFont"/>
    <w:link w:val="ListParagraph"/>
    <w:uiPriority w:val="34"/>
    <w:rsid w:val="0086403C"/>
    <w:rPr>
      <w:lang w:val="en-US" w:bidi="en-US"/>
    </w:rPr>
  </w:style>
  <w:style w:type="character" w:styleId="UnresolvedMention">
    <w:name w:val="Unresolved Mention"/>
    <w:basedOn w:val="DefaultParagraphFont"/>
    <w:uiPriority w:val="99"/>
    <w:semiHidden/>
    <w:unhideWhenUsed/>
    <w:rsid w:val="00014607"/>
    <w:rPr>
      <w:color w:val="605E5C"/>
      <w:shd w:val="clear" w:color="auto" w:fill="E1DFDD"/>
    </w:rPr>
  </w:style>
  <w:style w:type="table" w:styleId="GridTable4-Accent6">
    <w:name w:val="Grid Table 4 Accent 6"/>
    <w:basedOn w:val="TableNormal"/>
    <w:uiPriority w:val="49"/>
    <w:rsid w:val="005A0F8C"/>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450285">
      <w:bodyDiv w:val="1"/>
      <w:marLeft w:val="0"/>
      <w:marRight w:val="0"/>
      <w:marTop w:val="0"/>
      <w:marBottom w:val="0"/>
      <w:divBdr>
        <w:top w:val="none" w:sz="0" w:space="0" w:color="auto"/>
        <w:left w:val="none" w:sz="0" w:space="0" w:color="auto"/>
        <w:bottom w:val="none" w:sz="0" w:space="0" w:color="auto"/>
        <w:right w:val="none" w:sz="0" w:space="0" w:color="auto"/>
      </w:divBdr>
    </w:div>
    <w:div w:id="175967769">
      <w:bodyDiv w:val="1"/>
      <w:marLeft w:val="0"/>
      <w:marRight w:val="0"/>
      <w:marTop w:val="0"/>
      <w:marBottom w:val="0"/>
      <w:divBdr>
        <w:top w:val="none" w:sz="0" w:space="0" w:color="auto"/>
        <w:left w:val="none" w:sz="0" w:space="0" w:color="auto"/>
        <w:bottom w:val="none" w:sz="0" w:space="0" w:color="auto"/>
        <w:right w:val="none" w:sz="0" w:space="0" w:color="auto"/>
      </w:divBdr>
    </w:div>
    <w:div w:id="269244505">
      <w:bodyDiv w:val="1"/>
      <w:marLeft w:val="0"/>
      <w:marRight w:val="0"/>
      <w:marTop w:val="0"/>
      <w:marBottom w:val="0"/>
      <w:divBdr>
        <w:top w:val="none" w:sz="0" w:space="0" w:color="auto"/>
        <w:left w:val="none" w:sz="0" w:space="0" w:color="auto"/>
        <w:bottom w:val="none" w:sz="0" w:space="0" w:color="auto"/>
        <w:right w:val="none" w:sz="0" w:space="0" w:color="auto"/>
      </w:divBdr>
    </w:div>
    <w:div w:id="271936802">
      <w:bodyDiv w:val="1"/>
      <w:marLeft w:val="0"/>
      <w:marRight w:val="0"/>
      <w:marTop w:val="0"/>
      <w:marBottom w:val="0"/>
      <w:divBdr>
        <w:top w:val="none" w:sz="0" w:space="0" w:color="auto"/>
        <w:left w:val="none" w:sz="0" w:space="0" w:color="auto"/>
        <w:bottom w:val="none" w:sz="0" w:space="0" w:color="auto"/>
        <w:right w:val="none" w:sz="0" w:space="0" w:color="auto"/>
      </w:divBdr>
    </w:div>
    <w:div w:id="305285101">
      <w:bodyDiv w:val="1"/>
      <w:marLeft w:val="0"/>
      <w:marRight w:val="0"/>
      <w:marTop w:val="0"/>
      <w:marBottom w:val="0"/>
      <w:divBdr>
        <w:top w:val="none" w:sz="0" w:space="0" w:color="auto"/>
        <w:left w:val="none" w:sz="0" w:space="0" w:color="auto"/>
        <w:bottom w:val="none" w:sz="0" w:space="0" w:color="auto"/>
        <w:right w:val="none" w:sz="0" w:space="0" w:color="auto"/>
      </w:divBdr>
      <w:divsChild>
        <w:div w:id="1372533891">
          <w:marLeft w:val="0"/>
          <w:marRight w:val="0"/>
          <w:marTop w:val="0"/>
          <w:marBottom w:val="0"/>
          <w:divBdr>
            <w:top w:val="none" w:sz="0" w:space="0" w:color="auto"/>
            <w:left w:val="none" w:sz="0" w:space="0" w:color="auto"/>
            <w:bottom w:val="none" w:sz="0" w:space="0" w:color="auto"/>
            <w:right w:val="none" w:sz="0" w:space="0" w:color="auto"/>
          </w:divBdr>
        </w:div>
        <w:div w:id="416946795">
          <w:marLeft w:val="0"/>
          <w:marRight w:val="0"/>
          <w:marTop w:val="0"/>
          <w:marBottom w:val="0"/>
          <w:divBdr>
            <w:top w:val="none" w:sz="0" w:space="0" w:color="auto"/>
            <w:left w:val="none" w:sz="0" w:space="0" w:color="auto"/>
            <w:bottom w:val="none" w:sz="0" w:space="0" w:color="auto"/>
            <w:right w:val="none" w:sz="0" w:space="0" w:color="auto"/>
          </w:divBdr>
        </w:div>
        <w:div w:id="2100173942">
          <w:marLeft w:val="0"/>
          <w:marRight w:val="0"/>
          <w:marTop w:val="0"/>
          <w:marBottom w:val="0"/>
          <w:divBdr>
            <w:top w:val="none" w:sz="0" w:space="0" w:color="auto"/>
            <w:left w:val="none" w:sz="0" w:space="0" w:color="auto"/>
            <w:bottom w:val="none" w:sz="0" w:space="0" w:color="auto"/>
            <w:right w:val="none" w:sz="0" w:space="0" w:color="auto"/>
          </w:divBdr>
        </w:div>
        <w:div w:id="1892187908">
          <w:marLeft w:val="0"/>
          <w:marRight w:val="0"/>
          <w:marTop w:val="0"/>
          <w:marBottom w:val="0"/>
          <w:divBdr>
            <w:top w:val="none" w:sz="0" w:space="0" w:color="auto"/>
            <w:left w:val="none" w:sz="0" w:space="0" w:color="auto"/>
            <w:bottom w:val="none" w:sz="0" w:space="0" w:color="auto"/>
            <w:right w:val="none" w:sz="0" w:space="0" w:color="auto"/>
          </w:divBdr>
        </w:div>
        <w:div w:id="1711495047">
          <w:marLeft w:val="0"/>
          <w:marRight w:val="0"/>
          <w:marTop w:val="0"/>
          <w:marBottom w:val="0"/>
          <w:divBdr>
            <w:top w:val="none" w:sz="0" w:space="0" w:color="auto"/>
            <w:left w:val="none" w:sz="0" w:space="0" w:color="auto"/>
            <w:bottom w:val="none" w:sz="0" w:space="0" w:color="auto"/>
            <w:right w:val="none" w:sz="0" w:space="0" w:color="auto"/>
          </w:divBdr>
        </w:div>
        <w:div w:id="1958290456">
          <w:marLeft w:val="0"/>
          <w:marRight w:val="0"/>
          <w:marTop w:val="0"/>
          <w:marBottom w:val="0"/>
          <w:divBdr>
            <w:top w:val="none" w:sz="0" w:space="0" w:color="auto"/>
            <w:left w:val="none" w:sz="0" w:space="0" w:color="auto"/>
            <w:bottom w:val="none" w:sz="0" w:space="0" w:color="auto"/>
            <w:right w:val="none" w:sz="0" w:space="0" w:color="auto"/>
          </w:divBdr>
        </w:div>
        <w:div w:id="1085683379">
          <w:marLeft w:val="0"/>
          <w:marRight w:val="0"/>
          <w:marTop w:val="0"/>
          <w:marBottom w:val="0"/>
          <w:divBdr>
            <w:top w:val="none" w:sz="0" w:space="0" w:color="auto"/>
            <w:left w:val="none" w:sz="0" w:space="0" w:color="auto"/>
            <w:bottom w:val="none" w:sz="0" w:space="0" w:color="auto"/>
            <w:right w:val="none" w:sz="0" w:space="0" w:color="auto"/>
          </w:divBdr>
        </w:div>
        <w:div w:id="53160817">
          <w:marLeft w:val="0"/>
          <w:marRight w:val="0"/>
          <w:marTop w:val="0"/>
          <w:marBottom w:val="0"/>
          <w:divBdr>
            <w:top w:val="none" w:sz="0" w:space="0" w:color="auto"/>
            <w:left w:val="none" w:sz="0" w:space="0" w:color="auto"/>
            <w:bottom w:val="none" w:sz="0" w:space="0" w:color="auto"/>
            <w:right w:val="none" w:sz="0" w:space="0" w:color="auto"/>
          </w:divBdr>
        </w:div>
        <w:div w:id="855965710">
          <w:marLeft w:val="0"/>
          <w:marRight w:val="0"/>
          <w:marTop w:val="0"/>
          <w:marBottom w:val="0"/>
          <w:divBdr>
            <w:top w:val="none" w:sz="0" w:space="0" w:color="auto"/>
            <w:left w:val="none" w:sz="0" w:space="0" w:color="auto"/>
            <w:bottom w:val="none" w:sz="0" w:space="0" w:color="auto"/>
            <w:right w:val="none" w:sz="0" w:space="0" w:color="auto"/>
          </w:divBdr>
        </w:div>
        <w:div w:id="741173192">
          <w:marLeft w:val="0"/>
          <w:marRight w:val="0"/>
          <w:marTop w:val="0"/>
          <w:marBottom w:val="0"/>
          <w:divBdr>
            <w:top w:val="none" w:sz="0" w:space="0" w:color="auto"/>
            <w:left w:val="none" w:sz="0" w:space="0" w:color="auto"/>
            <w:bottom w:val="none" w:sz="0" w:space="0" w:color="auto"/>
            <w:right w:val="none" w:sz="0" w:space="0" w:color="auto"/>
          </w:divBdr>
        </w:div>
        <w:div w:id="2118795482">
          <w:marLeft w:val="0"/>
          <w:marRight w:val="0"/>
          <w:marTop w:val="0"/>
          <w:marBottom w:val="0"/>
          <w:divBdr>
            <w:top w:val="none" w:sz="0" w:space="0" w:color="auto"/>
            <w:left w:val="none" w:sz="0" w:space="0" w:color="auto"/>
            <w:bottom w:val="none" w:sz="0" w:space="0" w:color="auto"/>
            <w:right w:val="none" w:sz="0" w:space="0" w:color="auto"/>
          </w:divBdr>
        </w:div>
        <w:div w:id="2019698927">
          <w:marLeft w:val="0"/>
          <w:marRight w:val="0"/>
          <w:marTop w:val="0"/>
          <w:marBottom w:val="0"/>
          <w:divBdr>
            <w:top w:val="none" w:sz="0" w:space="0" w:color="auto"/>
            <w:left w:val="none" w:sz="0" w:space="0" w:color="auto"/>
            <w:bottom w:val="none" w:sz="0" w:space="0" w:color="auto"/>
            <w:right w:val="none" w:sz="0" w:space="0" w:color="auto"/>
          </w:divBdr>
        </w:div>
        <w:div w:id="2110159409">
          <w:marLeft w:val="0"/>
          <w:marRight w:val="0"/>
          <w:marTop w:val="0"/>
          <w:marBottom w:val="0"/>
          <w:divBdr>
            <w:top w:val="none" w:sz="0" w:space="0" w:color="auto"/>
            <w:left w:val="none" w:sz="0" w:space="0" w:color="auto"/>
            <w:bottom w:val="none" w:sz="0" w:space="0" w:color="auto"/>
            <w:right w:val="none" w:sz="0" w:space="0" w:color="auto"/>
          </w:divBdr>
        </w:div>
        <w:div w:id="1542471079">
          <w:marLeft w:val="0"/>
          <w:marRight w:val="0"/>
          <w:marTop w:val="0"/>
          <w:marBottom w:val="0"/>
          <w:divBdr>
            <w:top w:val="none" w:sz="0" w:space="0" w:color="auto"/>
            <w:left w:val="none" w:sz="0" w:space="0" w:color="auto"/>
            <w:bottom w:val="none" w:sz="0" w:space="0" w:color="auto"/>
            <w:right w:val="none" w:sz="0" w:space="0" w:color="auto"/>
          </w:divBdr>
        </w:div>
        <w:div w:id="1383794798">
          <w:marLeft w:val="0"/>
          <w:marRight w:val="0"/>
          <w:marTop w:val="0"/>
          <w:marBottom w:val="0"/>
          <w:divBdr>
            <w:top w:val="none" w:sz="0" w:space="0" w:color="auto"/>
            <w:left w:val="none" w:sz="0" w:space="0" w:color="auto"/>
            <w:bottom w:val="none" w:sz="0" w:space="0" w:color="auto"/>
            <w:right w:val="none" w:sz="0" w:space="0" w:color="auto"/>
          </w:divBdr>
        </w:div>
        <w:div w:id="1689671299">
          <w:marLeft w:val="0"/>
          <w:marRight w:val="0"/>
          <w:marTop w:val="0"/>
          <w:marBottom w:val="0"/>
          <w:divBdr>
            <w:top w:val="none" w:sz="0" w:space="0" w:color="auto"/>
            <w:left w:val="none" w:sz="0" w:space="0" w:color="auto"/>
            <w:bottom w:val="none" w:sz="0" w:space="0" w:color="auto"/>
            <w:right w:val="none" w:sz="0" w:space="0" w:color="auto"/>
          </w:divBdr>
        </w:div>
      </w:divsChild>
    </w:div>
    <w:div w:id="438185312">
      <w:bodyDiv w:val="1"/>
      <w:marLeft w:val="0"/>
      <w:marRight w:val="0"/>
      <w:marTop w:val="0"/>
      <w:marBottom w:val="0"/>
      <w:divBdr>
        <w:top w:val="none" w:sz="0" w:space="0" w:color="auto"/>
        <w:left w:val="none" w:sz="0" w:space="0" w:color="auto"/>
        <w:bottom w:val="none" w:sz="0" w:space="0" w:color="auto"/>
        <w:right w:val="none" w:sz="0" w:space="0" w:color="auto"/>
      </w:divBdr>
      <w:divsChild>
        <w:div w:id="91174026">
          <w:marLeft w:val="0"/>
          <w:marRight w:val="0"/>
          <w:marTop w:val="0"/>
          <w:marBottom w:val="0"/>
          <w:divBdr>
            <w:top w:val="none" w:sz="0" w:space="0" w:color="auto"/>
            <w:left w:val="none" w:sz="0" w:space="0" w:color="auto"/>
            <w:bottom w:val="none" w:sz="0" w:space="0" w:color="auto"/>
            <w:right w:val="none" w:sz="0" w:space="0" w:color="auto"/>
          </w:divBdr>
          <w:divsChild>
            <w:div w:id="493957057">
              <w:marLeft w:val="962"/>
              <w:marRight w:val="0"/>
              <w:marTop w:val="0"/>
              <w:marBottom w:val="0"/>
              <w:divBdr>
                <w:top w:val="none" w:sz="0" w:space="0" w:color="auto"/>
                <w:left w:val="none" w:sz="0" w:space="0" w:color="auto"/>
                <w:bottom w:val="none" w:sz="0" w:space="0" w:color="auto"/>
                <w:right w:val="none" w:sz="0" w:space="0" w:color="auto"/>
              </w:divBdr>
            </w:div>
          </w:divsChild>
        </w:div>
      </w:divsChild>
    </w:div>
    <w:div w:id="1684166489">
      <w:bodyDiv w:val="1"/>
      <w:marLeft w:val="0"/>
      <w:marRight w:val="0"/>
      <w:marTop w:val="0"/>
      <w:marBottom w:val="0"/>
      <w:divBdr>
        <w:top w:val="none" w:sz="0" w:space="0" w:color="auto"/>
        <w:left w:val="none" w:sz="0" w:space="0" w:color="auto"/>
        <w:bottom w:val="none" w:sz="0" w:space="0" w:color="auto"/>
        <w:right w:val="none" w:sz="0" w:space="0" w:color="auto"/>
      </w:divBdr>
    </w:div>
    <w:div w:id="1736779157">
      <w:bodyDiv w:val="1"/>
      <w:marLeft w:val="0"/>
      <w:marRight w:val="0"/>
      <w:marTop w:val="0"/>
      <w:marBottom w:val="0"/>
      <w:divBdr>
        <w:top w:val="none" w:sz="0" w:space="0" w:color="auto"/>
        <w:left w:val="none" w:sz="0" w:space="0" w:color="auto"/>
        <w:bottom w:val="none" w:sz="0" w:space="0" w:color="auto"/>
        <w:right w:val="none" w:sz="0" w:space="0" w:color="auto"/>
      </w:divBdr>
    </w:div>
    <w:div w:id="1779520517">
      <w:bodyDiv w:val="1"/>
      <w:marLeft w:val="0"/>
      <w:marRight w:val="0"/>
      <w:marTop w:val="0"/>
      <w:marBottom w:val="0"/>
      <w:divBdr>
        <w:top w:val="none" w:sz="0" w:space="0" w:color="auto"/>
        <w:left w:val="none" w:sz="0" w:space="0" w:color="auto"/>
        <w:bottom w:val="none" w:sz="0" w:space="0" w:color="auto"/>
        <w:right w:val="none" w:sz="0" w:space="0" w:color="auto"/>
      </w:divBdr>
    </w:div>
    <w:div w:id="1860966924">
      <w:bodyDiv w:val="1"/>
      <w:marLeft w:val="0"/>
      <w:marRight w:val="0"/>
      <w:marTop w:val="0"/>
      <w:marBottom w:val="0"/>
      <w:divBdr>
        <w:top w:val="none" w:sz="0" w:space="0" w:color="auto"/>
        <w:left w:val="none" w:sz="0" w:space="0" w:color="auto"/>
        <w:bottom w:val="none" w:sz="0" w:space="0" w:color="auto"/>
        <w:right w:val="none" w:sz="0" w:space="0" w:color="auto"/>
      </w:divBdr>
    </w:div>
    <w:div w:id="1961494215">
      <w:bodyDiv w:val="1"/>
      <w:marLeft w:val="0"/>
      <w:marRight w:val="0"/>
      <w:marTop w:val="0"/>
      <w:marBottom w:val="0"/>
      <w:divBdr>
        <w:top w:val="none" w:sz="0" w:space="0" w:color="auto"/>
        <w:left w:val="none" w:sz="0" w:space="0" w:color="auto"/>
        <w:bottom w:val="none" w:sz="0" w:space="0" w:color="auto"/>
        <w:right w:val="none" w:sz="0" w:space="0" w:color="auto"/>
      </w:divBdr>
    </w:div>
    <w:div w:id="2040037232">
      <w:bodyDiv w:val="1"/>
      <w:marLeft w:val="0"/>
      <w:marRight w:val="0"/>
      <w:marTop w:val="0"/>
      <w:marBottom w:val="0"/>
      <w:divBdr>
        <w:top w:val="none" w:sz="0" w:space="0" w:color="auto"/>
        <w:left w:val="none" w:sz="0" w:space="0" w:color="auto"/>
        <w:bottom w:val="none" w:sz="0" w:space="0" w:color="auto"/>
        <w:right w:val="none" w:sz="0" w:space="0" w:color="auto"/>
      </w:divBdr>
    </w:div>
    <w:div w:id="2079594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lwenn.martin@brunel.ac.uk" TargetMode="External"/><Relationship Id="rId13" Type="http://schemas.openxmlformats.org/officeDocument/2006/relationships/hyperlink" Target="mailto:Georgina.Collins@brunel.ac.uk" TargetMode="External"/><Relationship Id="rId18" Type="http://schemas.openxmlformats.org/officeDocument/2006/relationships/hyperlink" Target="mailto:Laura.VILLAMARBOUZA@efsa.europa.e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environar.com/environar/desktop/en/search.html" TargetMode="External"/><Relationship Id="rId7" Type="http://schemas.openxmlformats.org/officeDocument/2006/relationships/endnotes" Target="endnotes.xml"/><Relationship Id="rId12" Type="http://schemas.openxmlformats.org/officeDocument/2006/relationships/hyperlink" Target="mailto:ines.moreira@brunel.ac.uk" TargetMode="External"/><Relationship Id="rId17" Type="http://schemas.openxmlformats.org/officeDocument/2006/relationships/hyperlink" Target="mailto:Stefania.BARMAZ@efsa.europa.eu"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Maria.Arena@efsa.europe.eu" TargetMode="External"/><Relationship Id="rId20" Type="http://schemas.openxmlformats.org/officeDocument/2006/relationships/hyperlink" Target="http://mednar.com/mednar/desktop/en/search.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oanne.Mcphie@brunel.ac.uk" TargetMode="External"/><Relationship Id="rId24" Type="http://schemas.openxmlformats.org/officeDocument/2006/relationships/hyperlink" Target="https://www.cadima.info/index.php/area/evidenceSynthesisDatabase" TargetMode="External"/><Relationship Id="rId5" Type="http://schemas.openxmlformats.org/officeDocument/2006/relationships/webSettings" Target="webSettings.xml"/><Relationship Id="rId15" Type="http://schemas.openxmlformats.org/officeDocument/2006/relationships/hyperlink" Target="mailto:martin.scholze@brunel.ac.uk" TargetMode="External"/><Relationship Id="rId23" Type="http://schemas.openxmlformats.org/officeDocument/2006/relationships/hyperlink" Target="http://www.opengrey.eu/" TargetMode="External"/><Relationship Id="rId10" Type="http://schemas.openxmlformats.org/officeDocument/2006/relationships/hyperlink" Target="mailto:Sibylle.ermler@brunel.ac.uk" TargetMode="External"/><Relationship Id="rId19" Type="http://schemas.openxmlformats.org/officeDocument/2006/relationships/hyperlink" Target="http://zetoc.mimas.ac.uk/" TargetMode="External"/><Relationship Id="rId4" Type="http://schemas.openxmlformats.org/officeDocument/2006/relationships/settings" Target="settings.xml"/><Relationship Id="rId9" Type="http://schemas.openxmlformats.org/officeDocument/2006/relationships/hyperlink" Target="mailto:Alice.baynes@brunel.ac.uk" TargetMode="External"/><Relationship Id="rId14" Type="http://schemas.openxmlformats.org/officeDocument/2006/relationships/hyperlink" Target="mailto:Stefania.Oliverio@brunel.ac.uk" TargetMode="External"/><Relationship Id="rId22" Type="http://schemas.openxmlformats.org/officeDocument/2006/relationships/hyperlink" Target="http://www.opengrey.e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E74AA7-52D5-4D39-81CD-1A8A52FD30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2717</Words>
  <Characters>15488</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18169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Olwenn Martin</dc:creator>
  <cp:lastModifiedBy>Olwenn Martin</cp:lastModifiedBy>
  <cp:revision>2</cp:revision>
  <dcterms:created xsi:type="dcterms:W3CDTF">2019-05-13T08:55:00Z</dcterms:created>
  <dcterms:modified xsi:type="dcterms:W3CDTF">2019-05-13T08:55:00Z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6th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10th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8th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Mendeley Document_1">
    <vt:lpwstr>True</vt:lpwstr>
  </property>
  <property fmtid="{D5CDD505-2E9C-101B-9397-08002B2CF9AE}" pid="23" name="Mendeley Citation Style_1">
    <vt:lpwstr>http://www.zotero.org/styles/harvard-cite-them-right</vt:lpwstr>
  </property>
  <property fmtid="{D5CDD505-2E9C-101B-9397-08002B2CF9AE}" pid="24" name="Mendeley Unique User Id_1">
    <vt:lpwstr>ccf1f940-afff-3b7f-8964-cbbdc9036f91</vt:lpwstr>
  </property>
</Properties>
</file>